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eastAsia="方正小标宋简体"/>
          <w:color w:val="auto"/>
          <w:szCs w:val="28"/>
          <w:highlight w:val="non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85725</wp:posOffset>
                </wp:positionV>
                <wp:extent cx="5715635" cy="11430"/>
                <wp:effectExtent l="5080" t="0" r="13335" b="113030"/>
                <wp:wrapNone/>
                <wp:docPr id="8" name="直接连接符 8"/>
                <wp:cNvGraphicFramePr/>
                <a:graphic xmlns:a="http://schemas.openxmlformats.org/drawingml/2006/main">
                  <a:graphicData uri="http://schemas.microsoft.com/office/word/2010/wordprocessingShape">
                    <wps:wsp>
                      <wps:cNvCnPr/>
                      <wps:spPr>
                        <a:xfrm flipV="1">
                          <a:off x="1398905" y="2251710"/>
                          <a:ext cx="5715635" cy="11430"/>
                        </a:xfrm>
                        <a:prstGeom prst="line">
                          <a:avLst/>
                        </a:prstGeom>
                        <a:effectLst>
                          <a:reflection blurRad="6350" stA="50000" endA="300" endPos="90000" dist="508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9.3pt;margin-top:6.75pt;height:0.9pt;width:450.05pt;z-index:251660288;mso-width-relative:page;mso-height-relative:page;" filled="f" stroked="t" coordsize="21600,21600" o:gfxdata="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B1lsNcAAAAJAQAADwAAAAAA&#10;AAABACAAAAAiAAAAZHJzL2Rvd25yZXYueG1sUEsBAhQAFAAAAAgAh07iQF1NMT1NAgAAbgQAAA4A&#10;AAAAAAAAAQAgAAAAJgEAAGRycy9lMm9Eb2MueG1sUEsFBgAAAAAGAAYAWQEAAOUFAAAAAA==&#10;">
                <v:fill on="f" focussize="0,0"/>
                <v:stroke weight="1.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bidi w:val="0"/>
        <w:snapToGrid/>
        <w:spacing w:line="360" w:lineRule="auto"/>
        <w:ind w:right="449" w:rightChars="214"/>
        <w:jc w:val="right"/>
        <w:textAlignment w:val="auto"/>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高创园区屋顶分布式光伏发电项目监理服务</w:t>
      </w:r>
    </w:p>
    <w:p>
      <w:pPr>
        <w:pStyle w:val="2"/>
        <w:rPr>
          <w:rFonts w:hint="eastAsia"/>
          <w:color w:val="auto"/>
          <w:highlight w:val="none"/>
          <w:lang w:val="en-US" w:eastAsia="zh-CN"/>
        </w:rPr>
      </w:pPr>
    </w:p>
    <w:p>
      <w:pPr>
        <w:pStyle w:val="24"/>
        <w:keepNext w:val="0"/>
        <w:keepLines w:val="0"/>
        <w:pageBreakBefore w:val="0"/>
        <w:widowControl w:val="0"/>
        <w:kinsoku/>
        <w:wordWrap/>
        <w:overflowPunct/>
        <w:topLinePunct w:val="0"/>
        <w:bidi w:val="0"/>
        <w:snapToGrid/>
        <w:spacing w:line="360" w:lineRule="auto"/>
        <w:ind w:right="449" w:rightChars="214"/>
        <w:jc w:val="righ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6"/>
          <w:szCs w:val="36"/>
          <w:highlight w:val="none"/>
          <w:lang w:val="en-US" w:eastAsia="zh-CN"/>
        </w:rPr>
        <w:t>采购方式：竞争性磋商</w:t>
      </w:r>
    </w:p>
    <w:p>
      <w:pPr>
        <w:jc w:val="left"/>
        <w:rPr>
          <w:rFonts w:hint="eastAsia" w:ascii="仿宋" w:hAnsi="仿宋" w:eastAsia="仿宋" w:cs="仿宋"/>
          <w:color w:val="auto"/>
          <w:szCs w:val="28"/>
          <w:highlight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41910</wp:posOffset>
                </wp:positionV>
                <wp:extent cx="5715635" cy="11430"/>
                <wp:effectExtent l="5080" t="0" r="13335" b="113030"/>
                <wp:wrapNone/>
                <wp:docPr id="9" name="直接连接符 9"/>
                <wp:cNvGraphicFramePr/>
                <a:graphic xmlns:a="http://schemas.openxmlformats.org/drawingml/2006/main">
                  <a:graphicData uri="http://schemas.microsoft.com/office/word/2010/wordprocessingShape">
                    <wps:wsp>
                      <wps:cNvCnPr/>
                      <wps:spPr>
                        <a:xfrm flipV="1">
                          <a:off x="0" y="0"/>
                          <a:ext cx="5715635" cy="11430"/>
                        </a:xfrm>
                        <a:prstGeom prst="line">
                          <a:avLst/>
                        </a:prstGeom>
                        <a:effectLst>
                          <a:reflection blurRad="6350" stA="50000" endA="300" endPos="90000" dist="508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25pt;margin-top:3.3pt;height:0.9pt;width:450.05pt;z-index:251661312;mso-width-relative:page;mso-height-relative:page;" filled="f" stroked="t" coordsize="21600,21600" o:gfxdata="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&#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SS49dQAAAAHAQAADwAAAAAAAAABACAAAAAiAAAA&#10;ZHJzL2Rvd25yZXYueG1sUEsBAhQAFAAAAAgAh07iQGGvdVREAgAAYgQAAA4AAAAAAAAAAQAgAAAA&#10;IwEAAGRycy9lMm9Eb2MueG1sUEsFBgAAAAAGAAYAWQEAANkFAAAAAA==&#10;">
                <v:fill on="f" focussize="0,0"/>
                <v:stroke weight="1.5pt" color="#000000 [3200]" miterlimit="8" joinstyle="miter"/>
                <v:imagedata o:title=""/>
                <o:lock v:ext="edit" aspectratio="f"/>
              </v:line>
            </w:pict>
          </mc:Fallback>
        </mc:AlternateContent>
      </w:r>
    </w:p>
    <w:p>
      <w:pPr>
        <w:jc w:val="left"/>
        <w:rPr>
          <w:rFonts w:hint="eastAsia" w:ascii="仿宋" w:hAnsi="仿宋" w:eastAsia="仿宋" w:cs="仿宋"/>
          <w:color w:val="auto"/>
          <w:szCs w:val="28"/>
          <w:highlight w:val="none"/>
        </w:rPr>
      </w:pPr>
    </w:p>
    <w:p>
      <w:pPr>
        <w:jc w:val="center"/>
        <w:rPr>
          <w:rFonts w:hint="eastAsia" w:ascii="仿宋" w:hAnsi="仿宋" w:eastAsia="仿宋" w:cs="仿宋"/>
          <w:color w:val="auto"/>
          <w:sz w:val="72"/>
          <w:highlight w:val="none"/>
          <w:lang w:eastAsia="zh-CN"/>
        </w:rPr>
      </w:pPr>
    </w:p>
    <w:p>
      <w:pPr>
        <w:jc w:val="center"/>
        <w:rPr>
          <w:rFonts w:hint="eastAsia" w:ascii="仿宋" w:hAnsi="仿宋" w:eastAsia="仿宋" w:cs="仿宋"/>
          <w:color w:val="auto"/>
          <w:sz w:val="72"/>
          <w:highlight w:val="none"/>
        </w:rPr>
      </w:pPr>
      <w:r>
        <w:rPr>
          <w:rFonts w:hint="eastAsia" w:ascii="仿宋" w:hAnsi="仿宋" w:eastAsia="仿宋" w:cs="仿宋"/>
          <w:color w:val="auto"/>
          <w:sz w:val="72"/>
          <w:highlight w:val="none"/>
          <w:lang w:eastAsia="zh-CN"/>
        </w:rPr>
        <w:t>磋</w:t>
      </w:r>
      <w:r>
        <w:rPr>
          <w:rFonts w:hint="eastAsia" w:ascii="仿宋" w:hAnsi="仿宋" w:eastAsia="仿宋" w:cs="仿宋"/>
          <w:color w:val="auto"/>
          <w:sz w:val="72"/>
          <w:highlight w:val="none"/>
          <w:lang w:val="en-US" w:eastAsia="zh-CN"/>
        </w:rPr>
        <w:t xml:space="preserve"> </w:t>
      </w:r>
      <w:r>
        <w:rPr>
          <w:rFonts w:hint="eastAsia" w:ascii="仿宋" w:hAnsi="仿宋" w:eastAsia="仿宋" w:cs="仿宋"/>
          <w:color w:val="auto"/>
          <w:sz w:val="72"/>
          <w:highlight w:val="none"/>
          <w:lang w:eastAsia="zh-CN"/>
        </w:rPr>
        <w:t>商</w:t>
      </w:r>
      <w:r>
        <w:rPr>
          <w:rFonts w:hint="eastAsia" w:ascii="仿宋" w:hAnsi="仿宋" w:eastAsia="仿宋" w:cs="仿宋"/>
          <w:color w:val="auto"/>
          <w:sz w:val="72"/>
          <w:highlight w:val="none"/>
        </w:rPr>
        <w:t xml:space="preserve"> 文 件</w:t>
      </w: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(服务类)</w:t>
      </w:r>
    </w:p>
    <w:p>
      <w:pPr>
        <w:pStyle w:val="9"/>
        <w:spacing w:line="300" w:lineRule="auto"/>
        <w:jc w:val="center"/>
        <w:rPr>
          <w:rFonts w:hint="eastAsia" w:ascii="仿宋" w:hAnsi="仿宋" w:eastAsia="仿宋" w:cs="仿宋"/>
          <w:color w:val="auto"/>
          <w:sz w:val="32"/>
          <w:szCs w:val="32"/>
          <w:highlight w:val="none"/>
        </w:rPr>
      </w:pPr>
    </w:p>
    <w:p>
      <w:pPr>
        <w:pStyle w:val="9"/>
        <w:spacing w:line="300" w:lineRule="auto"/>
        <w:jc w:val="center"/>
        <w:rPr>
          <w:rFonts w:hint="eastAsia" w:ascii="仿宋" w:hAnsi="仿宋" w:eastAsia="仿宋" w:cs="仿宋"/>
          <w:color w:val="auto"/>
          <w:sz w:val="32"/>
          <w:szCs w:val="32"/>
          <w:highlight w:val="none"/>
        </w:rPr>
      </w:pPr>
    </w:p>
    <w:p>
      <w:pPr>
        <w:pStyle w:val="9"/>
        <w:spacing w:line="300" w:lineRule="auto"/>
        <w:jc w:val="center"/>
        <w:rPr>
          <w:rFonts w:hint="eastAsia" w:ascii="仿宋" w:hAnsi="仿宋" w:eastAsia="仿宋" w:cs="仿宋"/>
          <w:color w:val="auto"/>
          <w:sz w:val="32"/>
          <w:szCs w:val="32"/>
          <w:highlight w:val="none"/>
        </w:rPr>
      </w:pPr>
    </w:p>
    <w:p>
      <w:pPr>
        <w:pStyle w:val="9"/>
        <w:spacing w:line="300" w:lineRule="auto"/>
        <w:jc w:val="center"/>
        <w:rPr>
          <w:rFonts w:hint="eastAsia" w:ascii="仿宋" w:hAnsi="仿宋" w:eastAsia="仿宋" w:cs="仿宋"/>
          <w:color w:val="auto"/>
          <w:sz w:val="32"/>
          <w:szCs w:val="32"/>
          <w:highlight w:val="none"/>
        </w:rPr>
      </w:pPr>
    </w:p>
    <w:p>
      <w:pPr>
        <w:pStyle w:val="9"/>
        <w:spacing w:line="300" w:lineRule="auto"/>
        <w:jc w:val="center"/>
        <w:rPr>
          <w:rFonts w:hint="eastAsia" w:ascii="仿宋" w:hAnsi="仿宋" w:eastAsia="仿宋" w:cs="仿宋"/>
          <w:color w:val="auto"/>
          <w:sz w:val="32"/>
          <w:szCs w:val="32"/>
          <w:highlight w:val="none"/>
        </w:rPr>
      </w:pPr>
    </w:p>
    <w:p>
      <w:pPr>
        <w:pStyle w:val="9"/>
        <w:spacing w:line="300" w:lineRule="auto"/>
        <w:ind w:left="0" w:leftChars="0" w:firstLine="1414" w:firstLineChars="393"/>
        <w:jc w:val="left"/>
        <w:rPr>
          <w:rFonts w:hint="eastAsia" w:ascii="仿宋" w:hAnsi="仿宋" w:eastAsia="仿宋" w:cs="仿宋"/>
          <w:color w:val="auto"/>
          <w:sz w:val="36"/>
          <w:szCs w:val="36"/>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项目名称：</w:t>
      </w:r>
      <w:r>
        <w:rPr>
          <w:rFonts w:hint="eastAsia" w:ascii="仿宋" w:hAnsi="仿宋" w:eastAsia="仿宋" w:cs="仿宋"/>
          <w:color w:val="auto"/>
          <w:kern w:val="2"/>
          <w:sz w:val="32"/>
          <w:szCs w:val="32"/>
          <w:highlight w:val="none"/>
          <w:lang w:val="en-US" w:eastAsia="zh-CN" w:bidi="ar-SA"/>
        </w:rPr>
        <w:t>高创园区屋顶分布式光伏发电项目监理服务</w:t>
      </w:r>
    </w:p>
    <w:p>
      <w:pPr>
        <w:pStyle w:val="9"/>
        <w:keepNext w:val="0"/>
        <w:keepLines w:val="0"/>
        <w:pageBreakBefore w:val="0"/>
        <w:widowControl w:val="0"/>
        <w:kinsoku/>
        <w:wordWrap/>
        <w:overflowPunct/>
        <w:topLinePunct w:val="0"/>
        <w:autoSpaceDE/>
        <w:autoSpaceDN/>
        <w:bidi w:val="0"/>
        <w:adjustRightInd/>
        <w:snapToGrid/>
        <w:spacing w:line="360" w:lineRule="auto"/>
        <w:ind w:left="2517" w:leftChars="504" w:hanging="1459" w:hangingChars="456"/>
        <w:jc w:val="left"/>
        <w:textAlignment w:val="auto"/>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kern w:val="2"/>
          <w:sz w:val="32"/>
          <w:szCs w:val="32"/>
          <w:highlight w:val="none"/>
          <w:lang w:val="en-US" w:eastAsia="zh-CN" w:bidi="ar-SA"/>
        </w:rPr>
        <w:t>HBYB2022-12-012</w:t>
      </w:r>
      <w:r>
        <w:rPr>
          <w:rFonts w:hint="eastAsia" w:ascii="仿宋" w:hAnsi="仿宋" w:eastAsia="仿宋" w:cs="仿宋"/>
          <w:b/>
          <w:bCs/>
          <w:color w:val="auto"/>
          <w:sz w:val="32"/>
          <w:szCs w:val="32"/>
          <w:highlight w:val="none"/>
          <w:u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left="2517" w:leftChars="504" w:hanging="1459" w:hangingChars="456"/>
        <w:jc w:val="left"/>
        <w:textAlignment w:val="auto"/>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color w:val="auto"/>
          <w:sz w:val="32"/>
          <w:szCs w:val="32"/>
          <w:highlight w:val="none"/>
          <w:lang w:eastAsia="zh-CN"/>
        </w:rPr>
        <w:t>招标</w:t>
      </w:r>
      <w:r>
        <w:rPr>
          <w:rFonts w:hint="eastAsia" w:ascii="仿宋" w:hAnsi="仿宋" w:eastAsia="仿宋" w:cs="仿宋"/>
          <w:color w:val="auto"/>
          <w:sz w:val="32"/>
          <w:szCs w:val="32"/>
          <w:highlight w:val="none"/>
        </w:rPr>
        <w:t>单位：</w:t>
      </w:r>
      <w:r>
        <w:rPr>
          <w:rFonts w:hint="eastAsia" w:ascii="仿宋" w:hAnsi="仿宋" w:eastAsia="仿宋" w:cs="仿宋"/>
          <w:color w:val="auto"/>
          <w:kern w:val="2"/>
          <w:sz w:val="32"/>
          <w:szCs w:val="32"/>
          <w:highlight w:val="none"/>
          <w:lang w:val="en-US" w:eastAsia="zh-CN" w:bidi="ar-SA"/>
        </w:rPr>
        <w:t>孝感创聚能源有限公司</w:t>
      </w:r>
    </w:p>
    <w:p>
      <w:pPr>
        <w:ind w:left="2517" w:leftChars="504" w:hanging="1459" w:hangingChars="456"/>
        <w:rPr>
          <w:rFonts w:hint="eastAsia" w:ascii="仿宋" w:hAnsi="仿宋" w:eastAsia="仿宋" w:cs="仿宋"/>
          <w:color w:val="auto"/>
          <w:highlight w:val="none"/>
        </w:rPr>
      </w:pPr>
      <w:r>
        <w:rPr>
          <w:rFonts w:hint="eastAsia" w:ascii="仿宋" w:hAnsi="仿宋" w:eastAsia="仿宋" w:cs="仿宋"/>
          <w:color w:val="auto"/>
          <w:sz w:val="32"/>
          <w:szCs w:val="32"/>
          <w:highlight w:val="none"/>
          <w:lang w:val="en-US" w:eastAsia="zh-CN"/>
        </w:rPr>
        <w:t>代理机构：惠通建管科技有限公司</w:t>
      </w:r>
      <w:r>
        <w:rPr>
          <w:rFonts w:hint="eastAsia" w:ascii="仿宋" w:hAnsi="仿宋" w:eastAsia="仿宋" w:cs="仿宋"/>
          <w:b/>
          <w:bCs/>
          <w:color w:val="auto"/>
          <w:sz w:val="32"/>
          <w:szCs w:val="32"/>
          <w:highlight w:val="none"/>
          <w:u w:val="none"/>
          <w:lang w:val="en-US" w:eastAsia="zh-CN"/>
        </w:rPr>
        <w:t xml:space="preserve"> </w:t>
      </w:r>
    </w:p>
    <w:p>
      <w:pPr>
        <w:jc w:val="center"/>
        <w:rPr>
          <w:rFonts w:eastAsia="黑体" w:cs="黑体"/>
          <w:b/>
          <w:bCs/>
          <w:color w:val="auto"/>
          <w:sz w:val="40"/>
          <w:szCs w:val="40"/>
          <w:highlight w:val="none"/>
        </w:rPr>
      </w:pPr>
    </w:p>
    <w:p>
      <w:pPr>
        <w:rPr>
          <w:rFonts w:hint="eastAsia" w:eastAsia="黑体" w:cs="黑体"/>
          <w:b/>
          <w:bCs/>
          <w:color w:val="auto"/>
          <w:sz w:val="40"/>
          <w:szCs w:val="40"/>
          <w:highlight w:val="none"/>
        </w:rPr>
      </w:pPr>
      <w:r>
        <w:rPr>
          <w:rFonts w:hint="eastAsia" w:eastAsia="黑体" w:cs="黑体"/>
          <w:b/>
          <w:bCs/>
          <w:color w:val="auto"/>
          <w:sz w:val="40"/>
          <w:szCs w:val="40"/>
          <w:highlight w:val="none"/>
        </w:rPr>
        <w:br w:type="page"/>
      </w:r>
      <w:r>
        <w:rPr>
          <w:rFonts w:hint="eastAsia" w:eastAsia="黑体" w:cs="黑体"/>
          <w:b/>
          <w:bCs/>
          <w:color w:val="auto"/>
          <w:sz w:val="40"/>
          <w:szCs w:val="40"/>
          <w:highlight w:val="none"/>
        </w:rPr>
        <w:br w:type="page"/>
      </w:r>
    </w:p>
    <w:p>
      <w:pPr>
        <w:pStyle w:val="24"/>
        <w:rPr>
          <w:rFonts w:hint="eastAsia"/>
          <w:color w:val="auto"/>
          <w:highlight w:val="none"/>
        </w:rPr>
      </w:pPr>
    </w:p>
    <w:p>
      <w:pPr>
        <w:jc w:val="center"/>
        <w:rPr>
          <w:rFonts w:eastAsia="黑体" w:cs="Times New Roman"/>
          <w:b/>
          <w:bCs/>
          <w:color w:val="auto"/>
          <w:sz w:val="40"/>
          <w:szCs w:val="40"/>
          <w:highlight w:val="none"/>
        </w:rPr>
      </w:pPr>
      <w:r>
        <w:rPr>
          <w:rFonts w:hint="eastAsia" w:eastAsia="黑体" w:cs="黑体"/>
          <w:b/>
          <w:bCs/>
          <w:color w:val="auto"/>
          <w:sz w:val="40"/>
          <w:szCs w:val="40"/>
          <w:highlight w:val="none"/>
        </w:rPr>
        <w:t>采购人意见备案表</w:t>
      </w:r>
    </w:p>
    <w:p>
      <w:pPr>
        <w:jc w:val="center"/>
        <w:rPr>
          <w:rFonts w:eastAsia="黑体" w:cs="Times New Roman"/>
          <w:color w:val="auto"/>
          <w:highlight w:val="none"/>
        </w:rPr>
      </w:pPr>
    </w:p>
    <w:tbl>
      <w:tblPr>
        <w:tblStyle w:val="18"/>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4" w:hRule="atLeast"/>
          <w:jc w:val="center"/>
        </w:trPr>
        <w:tc>
          <w:tcPr>
            <w:tcW w:w="8360" w:type="dxa"/>
          </w:tcPr>
          <w:p>
            <w:pPr>
              <w:spacing w:line="360" w:lineRule="auto"/>
              <w:rPr>
                <w:rFonts w:eastAsia="Times New Roman" w:cs="Times New Roman"/>
                <w:color w:val="auto"/>
                <w:sz w:val="28"/>
                <w:szCs w:val="28"/>
                <w:highlight w:val="none"/>
              </w:rPr>
            </w:pPr>
            <w:r>
              <w:rPr>
                <w:rFonts w:hint="eastAsia" w:ascii="宋体" w:hAnsi="宋体" w:cs="宋体"/>
                <w:color w:val="auto"/>
                <w:sz w:val="28"/>
                <w:szCs w:val="28"/>
                <w:highlight w:val="none"/>
              </w:rPr>
              <w:t>采购人备案意见：</w:t>
            </w:r>
          </w:p>
          <w:p>
            <w:pPr>
              <w:spacing w:line="360" w:lineRule="auto"/>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你公司代理我单位的“</w:t>
            </w:r>
            <w:r>
              <w:rPr>
                <w:rFonts w:hint="eastAsia" w:ascii="宋体" w:hAnsi="宋体" w:cs="宋体"/>
                <w:color w:val="auto"/>
                <w:sz w:val="28"/>
                <w:szCs w:val="28"/>
                <w:highlight w:val="none"/>
                <w:lang w:eastAsia="zh-CN"/>
              </w:rPr>
              <w:t>高创园区屋顶分布式光伏发电项目监理服务</w:t>
            </w:r>
            <w:r>
              <w:rPr>
                <w:rFonts w:hint="eastAsia" w:ascii="宋体" w:hAnsi="宋体" w:cs="宋体"/>
                <w:color w:val="auto"/>
                <w:sz w:val="28"/>
                <w:szCs w:val="28"/>
                <w:highlight w:val="none"/>
              </w:rPr>
              <w:t>”而制作的磋商文件，经复核、审核后，符合我单位要求，同意</w:t>
            </w:r>
            <w:r>
              <w:rPr>
                <w:rFonts w:hint="eastAsia" w:ascii="宋体" w:hAnsi="宋体" w:cs="宋体"/>
                <w:color w:val="auto"/>
                <w:sz w:val="28"/>
                <w:szCs w:val="28"/>
                <w:highlight w:val="none"/>
                <w:lang w:eastAsia="zh-CN"/>
              </w:rPr>
              <w:t>发出</w:t>
            </w:r>
            <w:r>
              <w:rPr>
                <w:rFonts w:hint="eastAsia" w:ascii="宋体" w:hAnsi="宋体" w:cs="宋体"/>
                <w:color w:val="auto"/>
                <w:sz w:val="28"/>
                <w:szCs w:val="28"/>
                <w:highlight w:val="none"/>
              </w:rPr>
              <w:t>此文件。</w:t>
            </w:r>
          </w:p>
          <w:p>
            <w:pPr>
              <w:spacing w:line="360" w:lineRule="auto"/>
              <w:ind w:firstLine="638" w:firstLineChars="228"/>
              <w:rPr>
                <w:rFonts w:ascii="宋体" w:hAnsi="宋体" w:cs="宋体"/>
                <w:color w:val="auto"/>
                <w:sz w:val="28"/>
                <w:szCs w:val="28"/>
                <w:highlight w:val="none"/>
              </w:rPr>
            </w:pPr>
          </w:p>
          <w:p>
            <w:pPr>
              <w:spacing w:line="360" w:lineRule="auto"/>
              <w:ind w:firstLine="638" w:firstLineChars="228"/>
              <w:rPr>
                <w:rFonts w:ascii="宋体" w:hAnsi="宋体" w:cs="宋体"/>
                <w:color w:val="auto"/>
                <w:sz w:val="28"/>
                <w:szCs w:val="28"/>
                <w:highlight w:val="none"/>
              </w:rPr>
            </w:pPr>
          </w:p>
          <w:p>
            <w:pPr>
              <w:spacing w:line="360" w:lineRule="auto"/>
              <w:ind w:firstLine="638" w:firstLineChars="228"/>
              <w:rPr>
                <w:rFonts w:ascii="宋体" w:hAnsi="宋体" w:cs="宋体"/>
                <w:color w:val="auto"/>
                <w:sz w:val="28"/>
                <w:szCs w:val="28"/>
                <w:highlight w:val="none"/>
              </w:rPr>
            </w:pPr>
          </w:p>
          <w:p>
            <w:pPr>
              <w:rPr>
                <w:rFonts w:eastAsia="Times New Roman" w:cs="Times New Roman"/>
                <w:color w:val="auto"/>
                <w:sz w:val="28"/>
                <w:szCs w:val="28"/>
                <w:highlight w:val="none"/>
              </w:rPr>
            </w:pPr>
          </w:p>
          <w:p>
            <w:pPr>
              <w:rPr>
                <w:rFonts w:eastAsia="Times New Roman" w:cs="Times New Roman"/>
                <w:color w:val="auto"/>
                <w:sz w:val="28"/>
                <w:szCs w:val="28"/>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highlight w:val="none"/>
              </w:rPr>
            </w:pPr>
          </w:p>
          <w:p>
            <w:pPr>
              <w:rPr>
                <w:rFonts w:eastAsia="Times New Roman" w:cs="Times New Roman"/>
                <w:color w:val="auto"/>
                <w:sz w:val="28"/>
                <w:szCs w:val="28"/>
                <w:highlight w:val="none"/>
              </w:rPr>
            </w:pPr>
          </w:p>
          <w:p>
            <w:pPr>
              <w:ind w:firstLine="2240" w:firstLineChars="800"/>
              <w:rPr>
                <w:rFonts w:eastAsia="Times New Roman" w:cs="Times New Roman"/>
                <w:color w:val="auto"/>
                <w:sz w:val="28"/>
                <w:szCs w:val="28"/>
                <w:highlight w:val="none"/>
              </w:rPr>
            </w:pPr>
          </w:p>
          <w:p>
            <w:pPr>
              <w:rPr>
                <w:rFonts w:eastAsia="Times New Roman" w:cs="Times New Roman"/>
                <w:color w:val="auto"/>
                <w:sz w:val="28"/>
                <w:szCs w:val="28"/>
                <w:highlight w:val="none"/>
              </w:rPr>
            </w:pPr>
          </w:p>
          <w:p>
            <w:pPr>
              <w:rPr>
                <w:rFonts w:eastAsia="Times New Roman" w:cs="Times New Roman"/>
                <w:color w:val="auto"/>
                <w:sz w:val="28"/>
                <w:szCs w:val="28"/>
                <w:highlight w:val="none"/>
              </w:rPr>
            </w:pPr>
            <w:r>
              <w:rPr>
                <w:rFonts w:hint="eastAsia" w:ascii="宋体" w:hAnsi="宋体" w:cs="宋体"/>
                <w:color w:val="auto"/>
                <w:sz w:val="28"/>
                <w:szCs w:val="28"/>
                <w:highlight w:val="none"/>
              </w:rPr>
              <w:t>采购人意见（盖章）：</w:t>
            </w:r>
          </w:p>
          <w:p>
            <w:pPr>
              <w:rPr>
                <w:rFonts w:eastAsia="Times New Roman" w:cs="Times New Roman"/>
                <w:color w:val="auto"/>
                <w:sz w:val="28"/>
                <w:szCs w:val="28"/>
                <w:highlight w:val="none"/>
              </w:rPr>
            </w:pPr>
          </w:p>
          <w:p>
            <w:pPr>
              <w:rPr>
                <w:rFonts w:eastAsia="Times New Roman" w:cs="Times New Roman"/>
                <w:color w:val="auto"/>
                <w:sz w:val="28"/>
                <w:szCs w:val="28"/>
                <w:highlight w:val="none"/>
              </w:rPr>
            </w:pPr>
          </w:p>
          <w:p>
            <w:pPr>
              <w:rPr>
                <w:rFonts w:eastAsia="Times New Roman" w:cs="Times New Roman"/>
                <w:color w:val="auto"/>
                <w:sz w:val="28"/>
                <w:szCs w:val="28"/>
                <w:highlight w:val="none"/>
              </w:rPr>
            </w:pPr>
          </w:p>
          <w:p>
            <w:pPr>
              <w:ind w:firstLine="5208" w:firstLineChars="1860"/>
              <w:rPr>
                <w:rFonts w:eastAsia="Times New Roman" w:cs="Times New Roman"/>
                <w:color w:val="auto"/>
                <w:sz w:val="28"/>
                <w:szCs w:val="28"/>
                <w:highlight w:val="none"/>
              </w:rPr>
            </w:pPr>
            <w:r>
              <w:rPr>
                <w:rFonts w:hint="eastAsia" w:ascii="宋体" w:hAnsi="宋体" w:cs="宋体"/>
                <w:color w:val="auto"/>
                <w:sz w:val="28"/>
                <w:szCs w:val="28"/>
                <w:highlight w:val="none"/>
              </w:rPr>
              <w:t>年   月  日</w:t>
            </w:r>
          </w:p>
        </w:tc>
      </w:tr>
    </w:tbl>
    <w:p>
      <w:pPr>
        <w:rPr>
          <w:rFonts w:eastAsia="黑体" w:cs="Times New Roman"/>
          <w:color w:val="auto"/>
          <w:sz w:val="40"/>
          <w:szCs w:val="40"/>
          <w:highlight w:val="none"/>
        </w:rPr>
      </w:pPr>
      <w:r>
        <w:rPr>
          <w:rFonts w:eastAsia="黑体" w:cs="Times New Roman"/>
          <w:color w:val="auto"/>
          <w:sz w:val="40"/>
          <w:szCs w:val="40"/>
          <w:highlight w:val="none"/>
        </w:rPr>
        <w:br w:type="page"/>
      </w:r>
      <w:r>
        <w:rPr>
          <w:rFonts w:eastAsia="黑体" w:cs="Times New Roman"/>
          <w:color w:val="auto"/>
          <w:sz w:val="40"/>
          <w:szCs w:val="40"/>
          <w:highlight w:val="none"/>
        </w:rPr>
        <w:br w:type="page"/>
      </w:r>
    </w:p>
    <w:p>
      <w:pPr>
        <w:pStyle w:val="11"/>
        <w:rPr>
          <w:color w:val="auto"/>
          <w:highlight w:val="none"/>
        </w:rPr>
      </w:pPr>
    </w:p>
    <w:sdt>
      <w:sdtPr>
        <w:rPr>
          <w:rFonts w:hint="eastAsia" w:ascii="宋体" w:hAnsi="宋体" w:eastAsia="宋体" w:cs="宋体"/>
          <w:b/>
          <w:bCs/>
          <w:color w:val="auto"/>
          <w:kern w:val="2"/>
          <w:sz w:val="28"/>
          <w:szCs w:val="28"/>
          <w:highlight w:val="none"/>
          <w:lang w:val="en-US" w:eastAsia="zh-CN" w:bidi="ar-SA"/>
        </w:rPr>
        <w:id w:val="147468469"/>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pPr>
            <w:pStyle w:val="2"/>
            <w:rPr>
              <w:rFonts w:hint="eastAsia"/>
              <w:color w:val="auto"/>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TOC \o "1-1" \h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_Toc27152 </w:instrText>
          </w:r>
          <w:r>
            <w:rPr>
              <w:rFonts w:hint="eastAsia" w:ascii="宋体" w:hAnsi="宋体" w:eastAsia="宋体" w:cs="宋体"/>
              <w:color w:val="auto"/>
              <w:sz w:val="24"/>
              <w:szCs w:val="36"/>
              <w:highlight w:val="none"/>
            </w:rPr>
            <w:fldChar w:fldCharType="separate"/>
          </w:r>
          <w:r>
            <w:rPr>
              <w:rFonts w:hint="eastAsia"/>
              <w:color w:val="auto"/>
              <w:sz w:val="24"/>
              <w:szCs w:val="24"/>
              <w:highlight w:val="none"/>
            </w:rPr>
            <w:t>第一章  磋商邀请函（同公告）</w:t>
          </w:r>
          <w:r>
            <w:rPr>
              <w:color w:val="auto"/>
              <w:sz w:val="24"/>
              <w:szCs w:val="24"/>
            </w:rPr>
            <w:tab/>
          </w:r>
          <w:r>
            <w:rPr>
              <w:color w:val="auto"/>
              <w:sz w:val="24"/>
              <w:szCs w:val="24"/>
            </w:rPr>
            <w:fldChar w:fldCharType="begin"/>
          </w:r>
          <w:r>
            <w:rPr>
              <w:color w:val="auto"/>
              <w:sz w:val="24"/>
              <w:szCs w:val="24"/>
            </w:rPr>
            <w:instrText xml:space="preserve"> PAGEREF _Toc27152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_Toc3080 </w:instrText>
          </w:r>
          <w:r>
            <w:rPr>
              <w:rFonts w:hint="eastAsia" w:ascii="宋体" w:hAnsi="宋体" w:eastAsia="宋体" w:cs="宋体"/>
              <w:color w:val="auto"/>
              <w:sz w:val="24"/>
              <w:szCs w:val="36"/>
              <w:highlight w:val="none"/>
            </w:rPr>
            <w:fldChar w:fldCharType="separate"/>
          </w:r>
          <w:r>
            <w:rPr>
              <w:rFonts w:hint="eastAsia"/>
              <w:color w:val="auto"/>
              <w:sz w:val="24"/>
              <w:szCs w:val="24"/>
              <w:highlight w:val="none"/>
            </w:rPr>
            <w:t>第二章  磋商须知</w:t>
          </w:r>
          <w:r>
            <w:rPr>
              <w:color w:val="auto"/>
              <w:sz w:val="24"/>
              <w:szCs w:val="24"/>
            </w:rPr>
            <w:tab/>
          </w:r>
          <w:r>
            <w:rPr>
              <w:color w:val="auto"/>
              <w:sz w:val="24"/>
              <w:szCs w:val="24"/>
            </w:rPr>
            <w:fldChar w:fldCharType="begin"/>
          </w:r>
          <w:r>
            <w:rPr>
              <w:color w:val="auto"/>
              <w:sz w:val="24"/>
              <w:szCs w:val="24"/>
            </w:rPr>
            <w:instrText xml:space="preserve"> PAGEREF _Toc3080 \h </w:instrText>
          </w:r>
          <w:r>
            <w:rPr>
              <w:color w:val="auto"/>
              <w:sz w:val="24"/>
              <w:szCs w:val="24"/>
            </w:rPr>
            <w:fldChar w:fldCharType="separate"/>
          </w:r>
          <w:r>
            <w:rPr>
              <w:color w:val="auto"/>
              <w:sz w:val="24"/>
              <w:szCs w:val="24"/>
            </w:rPr>
            <w:t>4</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_Toc12339 </w:instrText>
          </w:r>
          <w:r>
            <w:rPr>
              <w:rFonts w:hint="eastAsia" w:ascii="宋体" w:hAnsi="宋体" w:eastAsia="宋体" w:cs="宋体"/>
              <w:color w:val="auto"/>
              <w:sz w:val="24"/>
              <w:szCs w:val="36"/>
              <w:highlight w:val="none"/>
            </w:rPr>
            <w:fldChar w:fldCharType="separate"/>
          </w:r>
          <w:r>
            <w:rPr>
              <w:rFonts w:hint="eastAsia"/>
              <w:color w:val="auto"/>
              <w:sz w:val="24"/>
              <w:szCs w:val="24"/>
              <w:highlight w:val="none"/>
            </w:rPr>
            <w:t>第三章  采购内容及要求</w:t>
          </w:r>
          <w:r>
            <w:rPr>
              <w:color w:val="auto"/>
              <w:sz w:val="24"/>
              <w:szCs w:val="24"/>
            </w:rPr>
            <w:tab/>
          </w:r>
          <w:r>
            <w:rPr>
              <w:color w:val="auto"/>
              <w:sz w:val="24"/>
              <w:szCs w:val="24"/>
            </w:rPr>
            <w:fldChar w:fldCharType="begin"/>
          </w:r>
          <w:r>
            <w:rPr>
              <w:color w:val="auto"/>
              <w:sz w:val="24"/>
              <w:szCs w:val="24"/>
            </w:rPr>
            <w:instrText xml:space="preserve"> PAGEREF _Toc12339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_Toc32743 </w:instrText>
          </w:r>
          <w:r>
            <w:rPr>
              <w:rFonts w:hint="eastAsia" w:ascii="宋体" w:hAnsi="宋体" w:eastAsia="宋体" w:cs="宋体"/>
              <w:color w:val="auto"/>
              <w:sz w:val="24"/>
              <w:szCs w:val="36"/>
              <w:highlight w:val="none"/>
            </w:rPr>
            <w:fldChar w:fldCharType="separate"/>
          </w:r>
          <w:r>
            <w:rPr>
              <w:rFonts w:hint="eastAsia"/>
              <w:color w:val="auto"/>
              <w:sz w:val="24"/>
              <w:szCs w:val="24"/>
              <w:highlight w:val="none"/>
            </w:rPr>
            <w:t>第四章  评定办法</w:t>
          </w:r>
          <w:r>
            <w:rPr>
              <w:color w:val="auto"/>
              <w:sz w:val="24"/>
              <w:szCs w:val="24"/>
            </w:rPr>
            <w:tab/>
          </w:r>
          <w:r>
            <w:rPr>
              <w:color w:val="auto"/>
              <w:sz w:val="24"/>
              <w:szCs w:val="24"/>
            </w:rPr>
            <w:fldChar w:fldCharType="begin"/>
          </w:r>
          <w:r>
            <w:rPr>
              <w:color w:val="auto"/>
              <w:sz w:val="24"/>
              <w:szCs w:val="24"/>
            </w:rPr>
            <w:instrText xml:space="preserve"> PAGEREF _Toc32743 \h </w:instrText>
          </w:r>
          <w:r>
            <w:rPr>
              <w:color w:val="auto"/>
              <w:sz w:val="24"/>
              <w:szCs w:val="24"/>
            </w:rPr>
            <w:fldChar w:fldCharType="separate"/>
          </w:r>
          <w:r>
            <w:rPr>
              <w:color w:val="auto"/>
              <w:sz w:val="24"/>
              <w:szCs w:val="24"/>
            </w:rPr>
            <w:t>21</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_Toc3294 </w:instrText>
          </w:r>
          <w:r>
            <w:rPr>
              <w:rFonts w:hint="eastAsia" w:ascii="宋体" w:hAnsi="宋体" w:eastAsia="宋体" w:cs="宋体"/>
              <w:color w:val="auto"/>
              <w:sz w:val="24"/>
              <w:szCs w:val="36"/>
              <w:highlight w:val="none"/>
            </w:rPr>
            <w:fldChar w:fldCharType="separate"/>
          </w:r>
          <w:r>
            <w:rPr>
              <w:rFonts w:hint="eastAsia" w:ascii="Arial" w:hAnsi="Arial" w:eastAsia="黑体" w:cs="Calibri"/>
              <w:color w:val="auto"/>
              <w:kern w:val="2"/>
              <w:sz w:val="24"/>
              <w:szCs w:val="24"/>
              <w:highlight w:val="none"/>
              <w:lang w:val="en-US" w:eastAsia="zh-CN" w:bidi="ar-SA"/>
            </w:rPr>
            <w:t>第五章  合同书</w:t>
          </w:r>
          <w:r>
            <w:rPr>
              <w:color w:val="auto"/>
              <w:sz w:val="24"/>
              <w:szCs w:val="24"/>
            </w:rPr>
            <w:tab/>
          </w:r>
          <w:r>
            <w:rPr>
              <w:color w:val="auto"/>
              <w:sz w:val="24"/>
              <w:szCs w:val="24"/>
            </w:rPr>
            <w:fldChar w:fldCharType="begin"/>
          </w:r>
          <w:r>
            <w:rPr>
              <w:color w:val="auto"/>
              <w:sz w:val="24"/>
              <w:szCs w:val="24"/>
            </w:rPr>
            <w:instrText xml:space="preserve"> PAGEREF _Toc3294 \h </w:instrText>
          </w:r>
          <w:r>
            <w:rPr>
              <w:color w:val="auto"/>
              <w:sz w:val="24"/>
              <w:szCs w:val="24"/>
            </w:rPr>
            <w:fldChar w:fldCharType="separate"/>
          </w:r>
          <w:r>
            <w:rPr>
              <w:color w:val="auto"/>
              <w:sz w:val="24"/>
              <w:szCs w:val="24"/>
            </w:rPr>
            <w:t>31</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_Toc8114 </w:instrText>
          </w:r>
          <w:r>
            <w:rPr>
              <w:rFonts w:hint="eastAsia" w:ascii="宋体" w:hAnsi="宋体" w:eastAsia="宋体" w:cs="宋体"/>
              <w:color w:val="auto"/>
              <w:sz w:val="24"/>
              <w:szCs w:val="36"/>
              <w:highlight w:val="none"/>
            </w:rPr>
            <w:fldChar w:fldCharType="separate"/>
          </w:r>
          <w:r>
            <w:rPr>
              <w:rFonts w:hint="eastAsia"/>
              <w:color w:val="auto"/>
              <w:sz w:val="24"/>
              <w:szCs w:val="24"/>
              <w:highlight w:val="none"/>
            </w:rPr>
            <w:t>第六章  竞争性磋商响应文件格式</w:t>
          </w:r>
          <w:r>
            <w:rPr>
              <w:color w:val="auto"/>
              <w:sz w:val="24"/>
              <w:szCs w:val="24"/>
            </w:rPr>
            <w:tab/>
          </w:r>
          <w:r>
            <w:rPr>
              <w:color w:val="auto"/>
              <w:sz w:val="24"/>
              <w:szCs w:val="24"/>
            </w:rPr>
            <w:fldChar w:fldCharType="begin"/>
          </w:r>
          <w:r>
            <w:rPr>
              <w:color w:val="auto"/>
              <w:sz w:val="24"/>
              <w:szCs w:val="24"/>
            </w:rPr>
            <w:instrText xml:space="preserve"> PAGEREF _Toc8114 \h </w:instrText>
          </w:r>
          <w:r>
            <w:rPr>
              <w:color w:val="auto"/>
              <w:sz w:val="24"/>
              <w:szCs w:val="24"/>
            </w:rPr>
            <w:fldChar w:fldCharType="separate"/>
          </w:r>
          <w:r>
            <w:rPr>
              <w:color w:val="auto"/>
              <w:sz w:val="24"/>
              <w:szCs w:val="24"/>
            </w:rPr>
            <w:t>33</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_Toc20364 </w:instrText>
          </w:r>
          <w:r>
            <w:rPr>
              <w:rFonts w:hint="eastAsia" w:ascii="宋体" w:hAnsi="宋体" w:eastAsia="宋体" w:cs="宋体"/>
              <w:color w:val="auto"/>
              <w:sz w:val="24"/>
              <w:szCs w:val="36"/>
              <w:highlight w:val="none"/>
            </w:rPr>
            <w:fldChar w:fldCharType="separate"/>
          </w:r>
          <w:r>
            <w:rPr>
              <w:rFonts w:hint="default" w:ascii="宋体" w:cs="Times New Roman"/>
              <w:bCs/>
              <w:color w:val="auto"/>
              <w:sz w:val="24"/>
              <w:szCs w:val="32"/>
            </w:rPr>
            <w:t xml:space="preserve">1. </w:t>
          </w:r>
          <w:r>
            <w:rPr>
              <w:rFonts w:hint="eastAsia" w:ascii="宋体" w:hAnsi="宋体" w:cs="宋体"/>
              <w:bCs/>
              <w:color w:val="auto"/>
              <w:sz w:val="24"/>
              <w:szCs w:val="32"/>
              <w:highlight w:val="none"/>
            </w:rPr>
            <w:t>投标函</w:t>
          </w:r>
          <w:r>
            <w:rPr>
              <w:color w:val="auto"/>
              <w:sz w:val="24"/>
              <w:szCs w:val="24"/>
            </w:rPr>
            <w:tab/>
          </w:r>
          <w:r>
            <w:rPr>
              <w:color w:val="auto"/>
              <w:sz w:val="24"/>
              <w:szCs w:val="24"/>
            </w:rPr>
            <w:fldChar w:fldCharType="begin"/>
          </w:r>
          <w:r>
            <w:rPr>
              <w:color w:val="auto"/>
              <w:sz w:val="24"/>
              <w:szCs w:val="24"/>
            </w:rPr>
            <w:instrText xml:space="preserve"> PAGEREF _Toc20364 \h </w:instrText>
          </w:r>
          <w:r>
            <w:rPr>
              <w:color w:val="auto"/>
              <w:sz w:val="24"/>
              <w:szCs w:val="24"/>
            </w:rPr>
            <w:fldChar w:fldCharType="separate"/>
          </w:r>
          <w:r>
            <w:rPr>
              <w:color w:val="auto"/>
              <w:sz w:val="24"/>
              <w:szCs w:val="24"/>
            </w:rPr>
            <w:t>35</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_Toc29160 </w:instrText>
          </w:r>
          <w:r>
            <w:rPr>
              <w:rFonts w:hint="eastAsia" w:ascii="宋体" w:hAnsi="宋体" w:eastAsia="宋体" w:cs="宋体"/>
              <w:color w:val="auto"/>
              <w:sz w:val="24"/>
              <w:szCs w:val="36"/>
              <w:highlight w:val="none"/>
            </w:rPr>
            <w:fldChar w:fldCharType="separate"/>
          </w:r>
          <w:r>
            <w:rPr>
              <w:rFonts w:hint="default" w:ascii="宋体" w:cs="Times New Roman"/>
              <w:bCs/>
              <w:color w:val="auto"/>
              <w:sz w:val="24"/>
              <w:szCs w:val="32"/>
            </w:rPr>
            <w:t xml:space="preserve">2. </w:t>
          </w:r>
          <w:r>
            <w:rPr>
              <w:rFonts w:hint="eastAsia" w:ascii="宋体" w:hAnsi="宋体" w:cs="宋体"/>
              <w:bCs/>
              <w:color w:val="auto"/>
              <w:sz w:val="24"/>
              <w:szCs w:val="32"/>
              <w:highlight w:val="none"/>
            </w:rPr>
            <w:t>报价一览表</w:t>
          </w:r>
          <w:r>
            <w:rPr>
              <w:color w:val="auto"/>
              <w:sz w:val="24"/>
              <w:szCs w:val="24"/>
            </w:rPr>
            <w:tab/>
          </w:r>
          <w:r>
            <w:rPr>
              <w:color w:val="auto"/>
              <w:sz w:val="24"/>
              <w:szCs w:val="24"/>
            </w:rPr>
            <w:fldChar w:fldCharType="begin"/>
          </w:r>
          <w:r>
            <w:rPr>
              <w:color w:val="auto"/>
              <w:sz w:val="24"/>
              <w:szCs w:val="24"/>
            </w:rPr>
            <w:instrText xml:space="preserve"> PAGEREF _Toc29160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_Toc2257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rPr>
            <w:t xml:space="preserve">3. </w:t>
          </w:r>
          <w:r>
            <w:rPr>
              <w:rFonts w:hint="eastAsia" w:ascii="宋体" w:hAnsi="宋体" w:eastAsia="宋体" w:cs="宋体"/>
              <w:bCs/>
              <w:color w:val="auto"/>
              <w:sz w:val="24"/>
              <w:szCs w:val="32"/>
              <w:highlight w:val="none"/>
            </w:rPr>
            <w:t>法定代表人身份证明书</w:t>
          </w:r>
          <w:r>
            <w:rPr>
              <w:color w:val="auto"/>
              <w:sz w:val="24"/>
              <w:szCs w:val="24"/>
            </w:rPr>
            <w:tab/>
          </w:r>
          <w:r>
            <w:rPr>
              <w:color w:val="auto"/>
              <w:sz w:val="24"/>
              <w:szCs w:val="24"/>
            </w:rPr>
            <w:fldChar w:fldCharType="begin"/>
          </w:r>
          <w:r>
            <w:rPr>
              <w:color w:val="auto"/>
              <w:sz w:val="24"/>
              <w:szCs w:val="24"/>
            </w:rPr>
            <w:instrText xml:space="preserve"> PAGEREF _Toc2257 \h </w:instrText>
          </w:r>
          <w:r>
            <w:rPr>
              <w:color w:val="auto"/>
              <w:sz w:val="24"/>
              <w:szCs w:val="24"/>
            </w:rPr>
            <w:fldChar w:fldCharType="separate"/>
          </w:r>
          <w:r>
            <w:rPr>
              <w:color w:val="auto"/>
              <w:sz w:val="24"/>
              <w:szCs w:val="24"/>
            </w:rPr>
            <w:t>37</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_Toc12236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rPr>
            <w:t xml:space="preserve">4. </w:t>
          </w:r>
          <w:r>
            <w:rPr>
              <w:rFonts w:hint="eastAsia" w:ascii="宋体" w:hAnsi="宋体" w:eastAsia="宋体" w:cs="宋体"/>
              <w:bCs/>
              <w:color w:val="auto"/>
              <w:sz w:val="24"/>
              <w:szCs w:val="32"/>
              <w:highlight w:val="none"/>
            </w:rPr>
            <w:t>法定代表人授权书</w:t>
          </w:r>
          <w:r>
            <w:rPr>
              <w:color w:val="auto"/>
              <w:sz w:val="24"/>
              <w:szCs w:val="24"/>
            </w:rPr>
            <w:tab/>
          </w:r>
          <w:r>
            <w:rPr>
              <w:color w:val="auto"/>
              <w:sz w:val="24"/>
              <w:szCs w:val="24"/>
            </w:rPr>
            <w:fldChar w:fldCharType="begin"/>
          </w:r>
          <w:r>
            <w:rPr>
              <w:color w:val="auto"/>
              <w:sz w:val="24"/>
              <w:szCs w:val="24"/>
            </w:rPr>
            <w:instrText xml:space="preserve"> PAGEREF _Toc12236 \h </w:instrText>
          </w:r>
          <w:r>
            <w:rPr>
              <w:color w:val="auto"/>
              <w:sz w:val="24"/>
              <w:szCs w:val="24"/>
            </w:rPr>
            <w:fldChar w:fldCharType="separate"/>
          </w:r>
          <w:r>
            <w:rPr>
              <w:color w:val="auto"/>
              <w:sz w:val="24"/>
              <w:szCs w:val="24"/>
            </w:rPr>
            <w:t>38</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_Toc1701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lang w:eastAsia="zh-CN"/>
            </w:rPr>
            <w:t xml:space="preserve">5. </w:t>
          </w:r>
          <w:r>
            <w:rPr>
              <w:rFonts w:hint="eastAsia" w:ascii="宋体" w:hAnsi="宋体" w:eastAsia="宋体" w:cs="宋体"/>
              <w:bCs/>
              <w:color w:val="auto"/>
              <w:sz w:val="24"/>
              <w:szCs w:val="32"/>
              <w:highlight w:val="none"/>
              <w:lang w:eastAsia="zh-CN"/>
            </w:rPr>
            <w:t>响应供应商类似项目业绩表（如需）</w:t>
          </w:r>
          <w:r>
            <w:rPr>
              <w:color w:val="auto"/>
              <w:sz w:val="24"/>
              <w:szCs w:val="24"/>
            </w:rPr>
            <w:tab/>
          </w:r>
          <w:r>
            <w:rPr>
              <w:color w:val="auto"/>
              <w:sz w:val="24"/>
              <w:szCs w:val="24"/>
            </w:rPr>
            <w:fldChar w:fldCharType="begin"/>
          </w:r>
          <w:r>
            <w:rPr>
              <w:color w:val="auto"/>
              <w:sz w:val="24"/>
              <w:szCs w:val="24"/>
            </w:rPr>
            <w:instrText xml:space="preserve"> PAGEREF _Toc1701 \h </w:instrText>
          </w:r>
          <w:r>
            <w:rPr>
              <w:color w:val="auto"/>
              <w:sz w:val="24"/>
              <w:szCs w:val="24"/>
            </w:rPr>
            <w:fldChar w:fldCharType="separate"/>
          </w:r>
          <w:r>
            <w:rPr>
              <w:color w:val="auto"/>
              <w:sz w:val="24"/>
              <w:szCs w:val="24"/>
            </w:rPr>
            <w:t>39</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_Toc12778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lang w:eastAsia="zh-CN"/>
            </w:rPr>
            <w:t xml:space="preserve">6. </w:t>
          </w:r>
          <w:r>
            <w:rPr>
              <w:rFonts w:hint="eastAsia" w:ascii="宋体" w:hAnsi="宋体" w:eastAsia="宋体" w:cs="宋体"/>
              <w:bCs/>
              <w:color w:val="auto"/>
              <w:sz w:val="24"/>
              <w:szCs w:val="32"/>
              <w:highlight w:val="none"/>
              <w:lang w:eastAsia="zh-CN"/>
            </w:rPr>
            <w:t>无重大违法记录声明</w:t>
          </w:r>
          <w:r>
            <w:rPr>
              <w:color w:val="auto"/>
              <w:sz w:val="24"/>
              <w:szCs w:val="24"/>
            </w:rPr>
            <w:tab/>
          </w:r>
          <w:r>
            <w:rPr>
              <w:color w:val="auto"/>
              <w:sz w:val="24"/>
              <w:szCs w:val="24"/>
            </w:rPr>
            <w:fldChar w:fldCharType="begin"/>
          </w:r>
          <w:r>
            <w:rPr>
              <w:color w:val="auto"/>
              <w:sz w:val="24"/>
              <w:szCs w:val="24"/>
            </w:rPr>
            <w:instrText xml:space="preserve"> PAGEREF _Toc12778 \h </w:instrText>
          </w:r>
          <w:r>
            <w:rPr>
              <w:color w:val="auto"/>
              <w:sz w:val="24"/>
              <w:szCs w:val="24"/>
            </w:rPr>
            <w:fldChar w:fldCharType="separate"/>
          </w:r>
          <w:r>
            <w:rPr>
              <w:color w:val="auto"/>
              <w:sz w:val="24"/>
              <w:szCs w:val="24"/>
            </w:rPr>
            <w:t>40</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_Toc10014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lang w:eastAsia="zh-CN"/>
            </w:rPr>
            <w:t xml:space="preserve">7. </w:t>
          </w:r>
          <w:r>
            <w:rPr>
              <w:rFonts w:hint="eastAsia" w:ascii="宋体" w:hAnsi="宋体" w:eastAsia="宋体" w:cs="宋体"/>
              <w:bCs/>
              <w:color w:val="auto"/>
              <w:sz w:val="24"/>
              <w:szCs w:val="32"/>
              <w:highlight w:val="none"/>
              <w:lang w:eastAsia="zh-CN"/>
            </w:rPr>
            <w:t>中小企业声明函</w:t>
          </w:r>
          <w:r>
            <w:rPr>
              <w:color w:val="auto"/>
              <w:sz w:val="24"/>
              <w:szCs w:val="24"/>
            </w:rPr>
            <w:tab/>
          </w:r>
          <w:r>
            <w:rPr>
              <w:color w:val="auto"/>
              <w:sz w:val="24"/>
              <w:szCs w:val="24"/>
            </w:rPr>
            <w:fldChar w:fldCharType="begin"/>
          </w:r>
          <w:r>
            <w:rPr>
              <w:color w:val="auto"/>
              <w:sz w:val="24"/>
              <w:szCs w:val="24"/>
            </w:rPr>
            <w:instrText xml:space="preserve"> PAGEREF _Toc10014 \h </w:instrText>
          </w:r>
          <w:r>
            <w:rPr>
              <w:color w:val="auto"/>
              <w:sz w:val="24"/>
              <w:szCs w:val="24"/>
            </w:rPr>
            <w:fldChar w:fldCharType="separate"/>
          </w:r>
          <w:r>
            <w:rPr>
              <w:color w:val="auto"/>
              <w:sz w:val="24"/>
              <w:szCs w:val="24"/>
            </w:rPr>
            <w:t>41</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_Toc3880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lang w:eastAsia="zh-CN"/>
            </w:rPr>
            <w:t xml:space="preserve">8. </w:t>
          </w:r>
          <w:r>
            <w:rPr>
              <w:rFonts w:hint="eastAsia" w:ascii="宋体" w:hAnsi="宋体" w:eastAsia="宋体" w:cs="宋体"/>
              <w:bCs/>
              <w:color w:val="auto"/>
              <w:sz w:val="24"/>
              <w:szCs w:val="32"/>
              <w:highlight w:val="none"/>
              <w:lang w:eastAsia="zh-CN"/>
            </w:rPr>
            <w:t>残疾人福利性单位声明函</w:t>
          </w:r>
          <w:r>
            <w:rPr>
              <w:rFonts w:hint="eastAsia" w:ascii="Times New Roman" w:hAnsi="Times New Roman" w:cs="宋体"/>
              <w:bCs/>
              <w:color w:val="auto"/>
              <w:sz w:val="24"/>
              <w:szCs w:val="32"/>
              <w:highlight w:val="none"/>
            </w:rPr>
            <w:t>（如果是）</w:t>
          </w:r>
          <w:r>
            <w:rPr>
              <w:color w:val="auto"/>
              <w:sz w:val="24"/>
              <w:szCs w:val="24"/>
            </w:rPr>
            <w:tab/>
          </w:r>
          <w:r>
            <w:rPr>
              <w:color w:val="auto"/>
              <w:sz w:val="24"/>
              <w:szCs w:val="24"/>
            </w:rPr>
            <w:fldChar w:fldCharType="begin"/>
          </w:r>
          <w:r>
            <w:rPr>
              <w:color w:val="auto"/>
              <w:sz w:val="24"/>
              <w:szCs w:val="24"/>
            </w:rPr>
            <w:instrText xml:space="preserve"> PAGEREF _Toc3880 \h </w:instrText>
          </w:r>
          <w:r>
            <w:rPr>
              <w:color w:val="auto"/>
              <w:sz w:val="24"/>
              <w:szCs w:val="24"/>
            </w:rPr>
            <w:fldChar w:fldCharType="separate"/>
          </w:r>
          <w:r>
            <w:rPr>
              <w:color w:val="auto"/>
              <w:sz w:val="24"/>
              <w:szCs w:val="24"/>
            </w:rPr>
            <w:t>42</w:t>
          </w:r>
          <w:r>
            <w:rPr>
              <w:color w:val="auto"/>
              <w:sz w:val="24"/>
              <w:szCs w:val="24"/>
            </w:rPr>
            <w:fldChar w:fldCharType="end"/>
          </w:r>
          <w:r>
            <w:rPr>
              <w:rFonts w:hint="eastAsia" w:ascii="宋体" w:hAnsi="宋体" w:eastAsia="宋体" w:cs="宋体"/>
              <w:color w:val="auto"/>
              <w:sz w:val="24"/>
              <w:szCs w:val="36"/>
              <w:highlight w:val="none"/>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36"/>
              <w:highlight w:val="none"/>
            </w:rPr>
            <w:fldChar w:fldCharType="begin"/>
          </w:r>
          <w:r>
            <w:rPr>
              <w:rFonts w:hint="eastAsia" w:ascii="宋体" w:hAnsi="宋体" w:eastAsia="宋体" w:cs="宋体"/>
              <w:color w:val="auto"/>
              <w:sz w:val="24"/>
              <w:szCs w:val="36"/>
              <w:highlight w:val="none"/>
            </w:rPr>
            <w:instrText xml:space="preserve"> HYPERLINK \l _Toc14856 </w:instrText>
          </w:r>
          <w:r>
            <w:rPr>
              <w:rFonts w:hint="eastAsia" w:ascii="宋体" w:hAnsi="宋体" w:eastAsia="宋体" w:cs="宋体"/>
              <w:color w:val="auto"/>
              <w:sz w:val="24"/>
              <w:szCs w:val="36"/>
              <w:highlight w:val="none"/>
            </w:rPr>
            <w:fldChar w:fldCharType="separate"/>
          </w:r>
          <w:r>
            <w:rPr>
              <w:rFonts w:hint="default" w:ascii="宋体" w:hAnsi="宋体" w:eastAsia="宋体" w:cs="宋体"/>
              <w:bCs/>
              <w:color w:val="auto"/>
              <w:sz w:val="24"/>
              <w:szCs w:val="32"/>
              <w:lang w:val="en-US" w:eastAsia="zh-CN"/>
            </w:rPr>
            <w:t xml:space="preserve">9. </w:t>
          </w:r>
          <w:r>
            <w:rPr>
              <w:rFonts w:hint="eastAsia" w:ascii="宋体" w:hAnsi="宋体" w:eastAsia="宋体" w:cs="宋体"/>
              <w:bCs/>
              <w:color w:val="auto"/>
              <w:sz w:val="24"/>
              <w:szCs w:val="32"/>
              <w:highlight w:val="none"/>
              <w:lang w:val="en-US" w:eastAsia="zh-CN"/>
            </w:rPr>
            <w:t>响应供应商认为需提供的相关资料</w:t>
          </w:r>
          <w:r>
            <w:rPr>
              <w:color w:val="auto"/>
              <w:sz w:val="24"/>
              <w:szCs w:val="24"/>
            </w:rPr>
            <w:tab/>
          </w:r>
          <w:r>
            <w:rPr>
              <w:color w:val="auto"/>
              <w:sz w:val="24"/>
              <w:szCs w:val="24"/>
            </w:rPr>
            <w:fldChar w:fldCharType="begin"/>
          </w:r>
          <w:r>
            <w:rPr>
              <w:color w:val="auto"/>
              <w:sz w:val="24"/>
              <w:szCs w:val="24"/>
            </w:rPr>
            <w:instrText xml:space="preserve"> PAGEREF _Toc14856 \h </w:instrText>
          </w:r>
          <w:r>
            <w:rPr>
              <w:color w:val="auto"/>
              <w:sz w:val="24"/>
              <w:szCs w:val="24"/>
            </w:rPr>
            <w:fldChar w:fldCharType="separate"/>
          </w:r>
          <w:r>
            <w:rPr>
              <w:color w:val="auto"/>
              <w:sz w:val="24"/>
              <w:szCs w:val="24"/>
            </w:rPr>
            <w:t>43</w:t>
          </w:r>
          <w:r>
            <w:rPr>
              <w:color w:val="auto"/>
              <w:sz w:val="24"/>
              <w:szCs w:val="24"/>
            </w:rPr>
            <w:fldChar w:fldCharType="end"/>
          </w:r>
          <w:r>
            <w:rPr>
              <w:rFonts w:hint="eastAsia" w:ascii="宋体" w:hAnsi="宋体" w:eastAsia="宋体" w:cs="宋体"/>
              <w:color w:val="auto"/>
              <w:sz w:val="24"/>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color w:val="auto"/>
              <w:sz w:val="28"/>
              <w:szCs w:val="28"/>
              <w:highlight w:val="none"/>
            </w:rPr>
          </w:pPr>
          <w:r>
            <w:rPr>
              <w:rFonts w:hint="eastAsia" w:ascii="宋体" w:hAnsi="宋体" w:eastAsia="宋体" w:cs="宋体"/>
              <w:color w:val="auto"/>
              <w:sz w:val="24"/>
              <w:szCs w:val="36"/>
              <w:highlight w:val="none"/>
            </w:rPr>
            <w:fldChar w:fldCharType="end"/>
          </w:r>
        </w:p>
      </w:sdtContent>
    </w:sdt>
    <w:p>
      <w:pPr>
        <w:jc w:val="center"/>
        <w:rPr>
          <w:rFonts w:cs="Times New Roman"/>
          <w:color w:val="auto"/>
          <w:sz w:val="28"/>
          <w:szCs w:val="28"/>
          <w:highlight w:val="none"/>
        </w:rPr>
      </w:pPr>
    </w:p>
    <w:p>
      <w:pPr>
        <w:jc w:val="center"/>
        <w:rPr>
          <w:rFonts w:cs="Times New Roman"/>
          <w:color w:val="auto"/>
          <w:sz w:val="28"/>
          <w:szCs w:val="28"/>
          <w:highlight w:val="none"/>
        </w:rPr>
      </w:pPr>
    </w:p>
    <w:p>
      <w:pPr>
        <w:tabs>
          <w:tab w:val="left" w:pos="1406"/>
          <w:tab w:val="center" w:pos="4595"/>
        </w:tabs>
        <w:jc w:val="left"/>
        <w:rPr>
          <w:rFonts w:hint="eastAsia" w:cs="Times New Roman"/>
          <w:color w:val="auto"/>
          <w:sz w:val="28"/>
          <w:szCs w:val="28"/>
          <w:highlight w:val="none"/>
          <w:lang w:eastAsia="zh-CN"/>
        </w:rPr>
      </w:pPr>
      <w:r>
        <w:rPr>
          <w:rFonts w:hint="eastAsia" w:cs="Times New Roman"/>
          <w:color w:val="auto"/>
          <w:sz w:val="28"/>
          <w:szCs w:val="28"/>
          <w:highlight w:val="none"/>
          <w:lang w:eastAsia="zh-CN"/>
        </w:rPr>
        <w:tab/>
      </w:r>
      <w:r>
        <w:rPr>
          <w:rFonts w:hint="eastAsia" w:cs="Times New Roman"/>
          <w:color w:val="auto"/>
          <w:sz w:val="28"/>
          <w:szCs w:val="28"/>
          <w:highlight w:val="none"/>
          <w:lang w:eastAsia="zh-CN"/>
        </w:rPr>
        <w:tab/>
      </w:r>
    </w:p>
    <w:p>
      <w:pPr>
        <w:rPr>
          <w:rFonts w:hint="eastAsia" w:cs="Times New Roman"/>
          <w:color w:val="auto"/>
          <w:sz w:val="28"/>
          <w:szCs w:val="28"/>
          <w:highlight w:val="none"/>
          <w:lang w:eastAsia="zh-CN"/>
        </w:rPr>
      </w:pPr>
      <w:r>
        <w:rPr>
          <w:rFonts w:hint="eastAsia" w:cs="Times New Roman"/>
          <w:color w:val="auto"/>
          <w:sz w:val="28"/>
          <w:szCs w:val="28"/>
          <w:highlight w:val="none"/>
          <w:lang w:eastAsia="zh-CN"/>
        </w:rPr>
        <w:br w:type="page"/>
      </w:r>
    </w:p>
    <w:p>
      <w:pPr>
        <w:pStyle w:val="11"/>
        <w:rPr>
          <w:rFonts w:hint="eastAsia"/>
          <w:color w:val="auto"/>
          <w:highlight w:val="none"/>
          <w:lang w:eastAsia="zh-CN"/>
        </w:rPr>
      </w:pPr>
    </w:p>
    <w:p>
      <w:pPr>
        <w:adjustRightInd w:val="0"/>
        <w:snapToGrid w:val="0"/>
        <w:spacing w:line="336" w:lineRule="auto"/>
        <w:rPr>
          <w:rFonts w:ascii="宋体" w:hAnsi="宋体" w:cs="宋体"/>
          <w:b/>
          <w:bCs/>
          <w:color w:val="auto"/>
          <w:sz w:val="40"/>
          <w:szCs w:val="40"/>
          <w:highlight w:val="none"/>
        </w:rPr>
        <w:sectPr>
          <w:headerReference r:id="rId3" w:type="default"/>
          <w:footerReference r:id="rId4" w:type="default"/>
          <w:pgSz w:w="11906" w:h="16838"/>
          <w:pgMar w:top="1438" w:right="1418" w:bottom="1418" w:left="1418" w:header="851" w:footer="1134" w:gutter="0"/>
          <w:pgBorders>
            <w:top w:val="none" w:sz="0" w:space="0"/>
            <w:left w:val="none" w:sz="0" w:space="0"/>
            <w:bottom w:val="none" w:sz="0" w:space="0"/>
            <w:right w:val="none" w:sz="0" w:space="0"/>
          </w:pgBorders>
          <w:pgNumType w:start="1"/>
          <w:cols w:space="720" w:num="1"/>
          <w:docGrid w:linePitch="579" w:charSpace="1229"/>
        </w:sectPr>
      </w:pPr>
      <w:bookmarkStart w:id="0" w:name="_Toc25349"/>
    </w:p>
    <w:p>
      <w:pPr>
        <w:pStyle w:val="5"/>
        <w:outlineLvl w:val="0"/>
        <w:rPr>
          <w:rFonts w:ascii="宋体" w:cs="Times New Roman"/>
          <w:bCs/>
          <w:color w:val="auto"/>
          <w:szCs w:val="40"/>
          <w:highlight w:val="none"/>
        </w:rPr>
      </w:pPr>
      <w:bookmarkStart w:id="1" w:name="_Toc22827"/>
      <w:bookmarkStart w:id="2" w:name="_Toc31297"/>
      <w:bookmarkStart w:id="3" w:name="_Toc18388"/>
      <w:bookmarkStart w:id="4" w:name="_Toc21092_WPSOffice_Level1"/>
      <w:bookmarkStart w:id="5" w:name="_Toc27152"/>
      <w:bookmarkStart w:id="6" w:name="_Toc7543"/>
      <w:bookmarkStart w:id="7" w:name="_Toc12584"/>
      <w:r>
        <w:rPr>
          <w:rFonts w:hint="eastAsia"/>
          <w:color w:val="auto"/>
          <w:highlight w:val="none"/>
        </w:rPr>
        <w:t>第一章  磋商邀请函（同公告）</w:t>
      </w:r>
      <w:bookmarkEnd w:id="0"/>
      <w:bookmarkEnd w:id="1"/>
      <w:bookmarkEnd w:id="2"/>
      <w:bookmarkEnd w:id="3"/>
      <w:bookmarkEnd w:id="4"/>
      <w:bookmarkEnd w:id="5"/>
      <w:bookmarkEnd w:id="6"/>
      <w:bookmarkEnd w:id="7"/>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高创园区屋顶分布式光伏发电项目监理服务</w:t>
      </w:r>
      <w:r>
        <w:rPr>
          <w:rFonts w:hint="eastAsia" w:ascii="宋体" w:hAnsi="宋体" w:eastAsia="宋体" w:cs="宋体"/>
          <w:color w:val="auto"/>
          <w:sz w:val="24"/>
          <w:szCs w:val="24"/>
          <w:highlight w:val="none"/>
        </w:rPr>
        <w:t>的潜在供应商应在</w:t>
      </w:r>
      <w:r>
        <w:rPr>
          <w:rFonts w:hint="eastAsia" w:ascii="宋体" w:hAnsi="宋体" w:cs="宋体"/>
          <w:color w:val="auto"/>
          <w:sz w:val="24"/>
          <w:szCs w:val="24"/>
          <w:highlight w:val="none"/>
          <w:u w:val="none"/>
          <w:lang w:eastAsia="zh-CN"/>
        </w:rPr>
        <w:t>惠通建管科技有限公司</w:t>
      </w:r>
      <w:r>
        <w:rPr>
          <w:rFonts w:hint="eastAsia" w:ascii="宋体" w:hAnsi="宋体" w:eastAsia="宋体" w:cs="宋体"/>
          <w:color w:val="auto"/>
          <w:sz w:val="24"/>
          <w:szCs w:val="24"/>
          <w:highlight w:val="none"/>
          <w:u w:val="none"/>
        </w:rPr>
        <w:t>（孝感市天仙路航天首府7幢1层8号铺）</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HBYB2022-12-012</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采购计划备案文号：</w:t>
      </w:r>
      <w:r>
        <w:rPr>
          <w:rFonts w:hint="eastAsia" w:ascii="宋体" w:hAnsi="宋体" w:cs="宋体"/>
          <w:color w:val="auto"/>
          <w:sz w:val="24"/>
          <w:szCs w:val="24"/>
          <w:highlight w:val="none"/>
          <w:u w:val="single"/>
          <w:lang w:val="en-US" w:eastAsia="zh-CN"/>
        </w:rPr>
        <w:t xml:space="preserve">    /  </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项目名称：</w:t>
      </w:r>
      <w:bookmarkStart w:id="434" w:name="_GoBack"/>
      <w:r>
        <w:rPr>
          <w:rFonts w:hint="eastAsia" w:ascii="宋体" w:hAnsi="宋体" w:cs="宋体"/>
          <w:color w:val="auto"/>
          <w:sz w:val="24"/>
          <w:szCs w:val="24"/>
          <w:highlight w:val="none"/>
          <w:u w:val="single"/>
          <w:lang w:eastAsia="zh-CN"/>
        </w:rPr>
        <w:t>高创园区屋顶分布式光伏发电项目监理服务</w:t>
      </w:r>
      <w:bookmarkEnd w:id="434"/>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rPr>
        <w:t>竞争性磋商</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u w:val="single"/>
          <w:lang w:val="en-US" w:eastAsia="zh-CN"/>
        </w:rPr>
        <w:t>52.97万元</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u w:val="single"/>
          <w:lang w:val="en-US" w:eastAsia="zh-CN"/>
        </w:rPr>
        <w:t>45万元</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u w:val="single"/>
          <w:lang w:eastAsia="zh-CN"/>
        </w:rPr>
        <w:t>高创园区屋顶分布式光伏发电项目监理服务施工准备阶段、施工</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阶段、交工验收及缺陷责任期全过程监理（具体以监理合同约定的内容为准）</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u w:val="single"/>
          <w:lang w:val="en-US" w:eastAsia="zh-CN"/>
        </w:rPr>
        <w:t>120日历天</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本项目（是/否）接受联合体投标：</w:t>
      </w:r>
      <w:r>
        <w:rPr>
          <w:rFonts w:hint="eastAsia" w:ascii="宋体" w:hAnsi="宋体" w:eastAsia="宋体" w:cs="宋体"/>
          <w:color w:val="auto"/>
          <w:sz w:val="24"/>
          <w:szCs w:val="24"/>
          <w:highlight w:val="none"/>
          <w:u w:val="single"/>
        </w:rPr>
        <w:t>否</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10.是否可采购进口产品：</w:t>
      </w:r>
      <w:r>
        <w:rPr>
          <w:rFonts w:hint="eastAsia" w:ascii="宋体" w:hAnsi="宋体" w:eastAsia="宋体" w:cs="宋体"/>
          <w:color w:val="auto"/>
          <w:sz w:val="24"/>
          <w:szCs w:val="24"/>
          <w:highlight w:val="none"/>
          <w:u w:val="single"/>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11.本项目（是/否）专门面向中小微企业：</w:t>
      </w:r>
      <w:r>
        <w:rPr>
          <w:rFonts w:hint="default" w:ascii="宋体" w:hAnsi="宋体" w:eastAsia="宋体" w:cs="宋体"/>
          <w:color w:val="auto"/>
          <w:sz w:val="24"/>
          <w:szCs w:val="24"/>
          <w:highlight w:val="none"/>
          <w:u w:val="single"/>
          <w:lang w:val="en-US" w:eastAsia="zh-CN"/>
        </w:rPr>
        <w:t>是</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1、满足《中华人民共和国政府采购法》第二十二条规定，即：</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w:t>
      </w:r>
      <w:r>
        <w:rPr>
          <w:rFonts w:hint="eastAsia" w:ascii="宋体" w:hAnsi="宋体" w:cs="宋体"/>
          <w:color w:val="auto"/>
          <w:sz w:val="24"/>
          <w:szCs w:val="24"/>
          <w:highlight w:val="none"/>
          <w:lang w:eastAsia="zh-CN"/>
        </w:rPr>
        <w:t>响应供应商</w:t>
      </w:r>
      <w:r>
        <w:rPr>
          <w:rFonts w:hint="eastAsia" w:ascii="宋体" w:hAnsi="宋体" w:eastAsia="宋体" w:cs="宋体"/>
          <w:color w:val="auto"/>
          <w:sz w:val="24"/>
          <w:szCs w:val="24"/>
          <w:highlight w:val="none"/>
        </w:rPr>
        <w:t>，不得参加本项目同一合同项下的政府采购活动。</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4、未被列入失信被执行人、重大税收违法案件当事人名单，未被列入政府采购严重违法失信行为记录名单。</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5、落实政府采购政策需满足的资格要求：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本项目为专门面向中小微企业采购的项目，供应商须出具《中小企业声明函》（格式见《《政府采购促进中小企业发展管理办法》（财库[2020]46号）），并对声明的真实性负责。中小企业划分标准所属行业：</w:t>
      </w:r>
      <w:r>
        <w:rPr>
          <w:rFonts w:hint="eastAsia" w:ascii="宋体" w:hAnsi="宋体" w:cs="宋体"/>
          <w:color w:val="auto"/>
          <w:sz w:val="24"/>
          <w:szCs w:val="24"/>
          <w:highlight w:val="none"/>
          <w:u w:val="single"/>
          <w:lang w:eastAsia="zh-CN"/>
        </w:rPr>
        <w:t>建筑业</w:t>
      </w:r>
      <w:r>
        <w:rPr>
          <w:rFonts w:hint="eastAsia" w:ascii="宋体" w:hAnsi="宋体" w:cs="宋体"/>
          <w:color w:val="auto"/>
          <w:sz w:val="24"/>
          <w:szCs w:val="24"/>
          <w:highlight w:val="none"/>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本项目的特定资格要求：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17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（1）具备</w:t>
      </w:r>
      <w:r>
        <w:rPr>
          <w:rFonts w:hint="eastAsia" w:ascii="宋体" w:hAnsi="宋体" w:cs="宋体"/>
          <w:color w:val="auto"/>
          <w:kern w:val="2"/>
          <w:sz w:val="24"/>
          <w:szCs w:val="24"/>
          <w:highlight w:val="none"/>
          <w:lang w:val="en-US" w:eastAsia="zh-CN" w:bidi="ar-SA"/>
        </w:rPr>
        <w:t>房屋建筑工程监理</w:t>
      </w:r>
      <w:r>
        <w:rPr>
          <w:rFonts w:hint="eastAsia" w:ascii="宋体" w:hAnsi="宋体" w:eastAsia="宋体" w:cs="宋体"/>
          <w:color w:val="auto"/>
          <w:kern w:val="2"/>
          <w:sz w:val="24"/>
          <w:szCs w:val="24"/>
          <w:highlight w:val="none"/>
          <w:lang w:val="en-US" w:eastAsia="zh-CN" w:bidi="ar-SA"/>
        </w:rPr>
        <w:t>乙级及以上资质或监理综合资质。</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17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（2）供应商拟派总监理工程师须具备</w:t>
      </w:r>
      <w:r>
        <w:rPr>
          <w:rFonts w:hint="eastAsia" w:ascii="宋体" w:hAnsi="宋体" w:cs="宋体"/>
          <w:color w:val="auto"/>
          <w:kern w:val="2"/>
          <w:sz w:val="24"/>
          <w:szCs w:val="24"/>
          <w:highlight w:val="none"/>
          <w:lang w:val="en-US" w:eastAsia="zh-CN" w:bidi="ar-SA"/>
        </w:rPr>
        <w:t>房屋建筑工程监理</w:t>
      </w:r>
      <w:r>
        <w:rPr>
          <w:rFonts w:hint="eastAsia" w:ascii="宋体" w:hAnsi="宋体" w:eastAsia="宋体" w:cs="宋体"/>
          <w:color w:val="auto"/>
          <w:kern w:val="2"/>
          <w:sz w:val="24"/>
          <w:szCs w:val="24"/>
          <w:highlight w:val="none"/>
          <w:lang w:val="en-US" w:eastAsia="zh-CN" w:bidi="ar-SA"/>
        </w:rPr>
        <w:t>专业注册监理工程师执业证书，需提供连续近3个月的社保证明（社保查询个人明细截图）。</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cs="宋体"/>
          <w:color w:val="auto"/>
          <w:sz w:val="24"/>
          <w:szCs w:val="24"/>
          <w:highlight w:val="none"/>
          <w:lang w:val="en-US" w:eastAsia="zh-CN"/>
        </w:rPr>
        <w:t xml:space="preserve"> 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01</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日，每天上午08:30至12:00，下午14:30至17:00（北京时间，法定节假日除外）</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lang w:eastAsia="zh-CN"/>
        </w:rPr>
        <w:t>惠通建管科技有限公司</w:t>
      </w:r>
      <w:r>
        <w:rPr>
          <w:rFonts w:hint="eastAsia" w:ascii="宋体" w:hAnsi="宋体" w:eastAsia="宋体" w:cs="宋体"/>
          <w:color w:val="auto"/>
          <w:sz w:val="24"/>
          <w:szCs w:val="24"/>
          <w:highlight w:val="none"/>
        </w:rPr>
        <w:t>（孝感市天仙路航天首府7幢1层8号铺）</w:t>
      </w:r>
    </w:p>
    <w:p>
      <w:pPr>
        <w:spacing w:line="360" w:lineRule="auto"/>
        <w:ind w:left="0" w:leftChars="0" w:firstLine="420" w:firstLineChars="175"/>
        <w:rPr>
          <w:rFonts w:ascii="宋体" w:cs="Times New Roman"/>
          <w:color w:val="auto"/>
          <w:sz w:val="24"/>
          <w:szCs w:val="24"/>
          <w:highlight w:val="none"/>
        </w:rPr>
      </w:pPr>
      <w:r>
        <w:rPr>
          <w:rFonts w:hint="eastAsia" w:ascii="宋体" w:hAnsi="宋体" w:eastAsia="宋体" w:cs="宋体"/>
          <w:color w:val="auto"/>
          <w:sz w:val="24"/>
          <w:szCs w:val="24"/>
          <w:highlight w:val="none"/>
        </w:rPr>
        <w:t>3、方式：</w:t>
      </w:r>
      <w:r>
        <w:rPr>
          <w:rFonts w:hint="eastAsia" w:ascii="宋体" w:hAnsi="宋体" w:cs="宋体"/>
          <w:color w:val="auto"/>
          <w:sz w:val="24"/>
          <w:szCs w:val="24"/>
          <w:highlight w:val="none"/>
        </w:rPr>
        <w:t>符合资格的供应商在规定时间内携带下列材料至指定地点获取采购文件（</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）法定代表人授权委托书、法定代表人身份证复印件、被委托人身份证原件及复印件（如是法定代表人报名则只需法定代表人身份证原件及复印件）；（</w:t>
      </w:r>
      <w:r>
        <w:rPr>
          <w:rFonts w:ascii="宋体" w:hAnsi="宋体" w:cs="宋体"/>
          <w:color w:val="auto"/>
          <w:sz w:val="24"/>
          <w:szCs w:val="24"/>
          <w:highlight w:val="none"/>
        </w:rPr>
        <w:t>2</w:t>
      </w:r>
      <w:r>
        <w:rPr>
          <w:rFonts w:hint="eastAsia" w:ascii="宋体" w:hAnsi="宋体" w:cs="宋体"/>
          <w:color w:val="auto"/>
          <w:sz w:val="24"/>
          <w:szCs w:val="24"/>
          <w:highlight w:val="none"/>
        </w:rPr>
        <w:t>）申请人的资格中所列内容的复印件（复印件加盖公章，以供存档</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1、开始时间：</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3、地点：</w:t>
      </w:r>
      <w:r>
        <w:rPr>
          <w:rFonts w:hint="eastAsia" w:ascii="宋体" w:hAnsi="宋体" w:cs="宋体"/>
          <w:color w:val="auto"/>
          <w:sz w:val="24"/>
          <w:szCs w:val="24"/>
          <w:highlight w:val="none"/>
          <w:lang w:eastAsia="zh-CN"/>
        </w:rPr>
        <w:t>惠通建管科技有限公司</w:t>
      </w:r>
      <w:r>
        <w:rPr>
          <w:rFonts w:hint="eastAsia" w:ascii="宋体" w:hAnsi="宋体" w:eastAsia="宋体" w:cs="宋体"/>
          <w:color w:val="auto"/>
          <w:sz w:val="24"/>
          <w:szCs w:val="24"/>
          <w:highlight w:val="none"/>
        </w:rPr>
        <w:t>（孝感市天仙路航天首府7幢1层8号铺）</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日09点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lang w:eastAsia="zh-CN"/>
        </w:rPr>
        <w:t>惠通建管科技有限公司</w:t>
      </w:r>
      <w:r>
        <w:rPr>
          <w:rFonts w:hint="eastAsia" w:ascii="宋体" w:hAnsi="宋体" w:eastAsia="宋体" w:cs="宋体"/>
          <w:color w:val="auto"/>
          <w:sz w:val="24"/>
          <w:szCs w:val="24"/>
          <w:highlight w:val="none"/>
        </w:rPr>
        <w:t>（孝感市天仙路航天首府7幢1层8号铺）</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七、其他补充事宜</w:t>
      </w:r>
    </w:p>
    <w:p>
      <w:pPr>
        <w:pStyle w:val="24"/>
        <w:keepNext w:val="0"/>
        <w:keepLines w:val="0"/>
        <w:pageBreakBefore w:val="0"/>
        <w:widowControl w:val="0"/>
        <w:kinsoku/>
        <w:wordWrap/>
        <w:overflowPunct/>
        <w:topLinePunct w:val="0"/>
        <w:autoSpaceDE w:val="0"/>
        <w:autoSpaceDN w:val="0"/>
        <w:bidi w:val="0"/>
        <w:snapToGrid/>
        <w:spacing w:line="440" w:lineRule="exact"/>
        <w:ind w:left="0" w:leftChars="0" w:firstLine="439" w:firstLineChars="183"/>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发布媒体：中国政府采购网</w:t>
      </w:r>
    </w:p>
    <w:p>
      <w:pPr>
        <w:pStyle w:val="24"/>
        <w:keepNext w:val="0"/>
        <w:keepLines w:val="0"/>
        <w:pageBreakBefore w:val="0"/>
        <w:widowControl w:val="0"/>
        <w:kinsoku/>
        <w:wordWrap/>
        <w:overflowPunct/>
        <w:topLinePunct w:val="0"/>
        <w:autoSpaceDE w:val="0"/>
        <w:autoSpaceDN w:val="0"/>
        <w:bidi w:val="0"/>
        <w:snapToGrid/>
        <w:spacing w:line="440" w:lineRule="exact"/>
        <w:ind w:left="0" w:leftChars="0" w:firstLine="439" w:firstLineChars="183"/>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2、本次采购单位为：</w:t>
      </w:r>
      <w:r>
        <w:rPr>
          <w:rFonts w:hint="eastAsia" w:ascii="宋体" w:hAnsi="宋体" w:eastAsia="宋体" w:cs="宋体"/>
          <w:color w:val="auto"/>
          <w:kern w:val="2"/>
          <w:sz w:val="24"/>
          <w:szCs w:val="24"/>
          <w:highlight w:val="none"/>
          <w:lang w:val="en-US" w:eastAsia="zh-CN" w:bidi="ar-SA"/>
        </w:rPr>
        <w:t>孝感创聚能源有限公司</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八、凡对本次采购提出询问，请按以下方式联系。</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、采购人信息</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szCs w:val="24"/>
          <w:highlight w:val="none"/>
          <w:lang w:eastAsia="zh-CN"/>
        </w:rPr>
        <w:t>孝感创聚能源有限公司</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lang w:val="en-US" w:eastAsia="zh-CN"/>
        </w:rPr>
        <w:t>孝感市文昌大道45号</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联系方式：13477708156</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、采购代理机构信息</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szCs w:val="24"/>
          <w:highlight w:val="none"/>
          <w:lang w:eastAsia="zh-CN"/>
        </w:rPr>
        <w:t>惠通建管科技有限公司</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址：孝感市天仙路航天首府7幢1层8号铺</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联系方式：0712-2515789</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、项目联系方式</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w:t>
      </w:r>
      <w:r>
        <w:rPr>
          <w:rFonts w:hint="eastAsia" w:ascii="宋体" w:hAnsi="宋体" w:cs="宋体"/>
          <w:color w:val="auto"/>
          <w:sz w:val="24"/>
          <w:szCs w:val="24"/>
          <w:highlight w:val="none"/>
          <w:lang w:eastAsia="zh-CN"/>
        </w:rPr>
        <w:t>樊凯</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39" w:firstLineChars="18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话：0712-2515789</w:t>
      </w:r>
    </w:p>
    <w:p>
      <w:pPr>
        <w:rPr>
          <w:rFonts w:hint="eastAsia" w:eastAsia="宋体"/>
          <w:color w:val="auto"/>
          <w:highlight w:val="none"/>
          <w:lang w:eastAsia="zh-CN"/>
        </w:rPr>
      </w:pPr>
      <w:bookmarkStart w:id="8" w:name="_Toc30190"/>
      <w:bookmarkStart w:id="9" w:name="_Toc17599_WPSOffice_Level1"/>
      <w:bookmarkStart w:id="10" w:name="_Toc15828"/>
      <w:bookmarkStart w:id="11" w:name="_Toc1609"/>
      <w:bookmarkStart w:id="12" w:name="_Toc3617"/>
      <w:bookmarkStart w:id="13" w:name="_Toc21474"/>
      <w:bookmarkStart w:id="14" w:name="_Toc22822"/>
      <w:bookmarkStart w:id="15" w:name="_Toc24858"/>
      <w:bookmarkStart w:id="16" w:name="_Toc1026"/>
      <w:bookmarkStart w:id="17" w:name="_Toc917"/>
      <w:bookmarkStart w:id="18" w:name="_Toc18815"/>
      <w:r>
        <w:rPr>
          <w:rFonts w:hint="eastAsia"/>
          <w:color w:val="auto"/>
          <w:highlight w:val="none"/>
        </w:rPr>
        <w:br w:type="page"/>
      </w:r>
    </w:p>
    <w:p>
      <w:pPr>
        <w:pStyle w:val="5"/>
        <w:outlineLvl w:val="0"/>
        <w:rPr>
          <w:rFonts w:cs="Times New Roman"/>
          <w:color w:val="auto"/>
          <w:highlight w:val="none"/>
        </w:rPr>
      </w:pPr>
      <w:bookmarkStart w:id="19" w:name="_Toc3080"/>
      <w:r>
        <w:rPr>
          <w:rFonts w:hint="eastAsia"/>
          <w:color w:val="auto"/>
          <w:highlight w:val="none"/>
        </w:rPr>
        <w:t>第二章  磋商须知</w:t>
      </w:r>
      <w:bookmarkEnd w:id="8"/>
      <w:bookmarkEnd w:id="9"/>
      <w:bookmarkEnd w:id="10"/>
      <w:bookmarkEnd w:id="11"/>
      <w:bookmarkEnd w:id="12"/>
      <w:bookmarkEnd w:id="13"/>
      <w:bookmarkEnd w:id="14"/>
      <w:bookmarkEnd w:id="15"/>
      <w:bookmarkEnd w:id="16"/>
      <w:bookmarkEnd w:id="17"/>
      <w:bookmarkEnd w:id="18"/>
      <w:bookmarkEnd w:id="19"/>
    </w:p>
    <w:p>
      <w:pPr>
        <w:pStyle w:val="27"/>
        <w:spacing w:before="0" w:after="0" w:line="360" w:lineRule="auto"/>
        <w:rPr>
          <w:rFonts w:ascii="宋体" w:cs="Times New Roman"/>
          <w:color w:val="auto"/>
          <w:sz w:val="24"/>
          <w:szCs w:val="24"/>
          <w:highlight w:val="none"/>
          <w:lang w:val="zh-CN"/>
        </w:rPr>
      </w:pPr>
      <w:bookmarkStart w:id="20" w:name="_Toc447024815"/>
      <w:bookmarkStart w:id="21" w:name="_Toc28135"/>
      <w:bookmarkStart w:id="22" w:name="_Toc23911"/>
      <w:bookmarkStart w:id="23" w:name="_Toc12681"/>
      <w:r>
        <w:rPr>
          <w:rFonts w:hint="eastAsia" w:ascii="宋体" w:hAnsi="宋体" w:cs="宋体"/>
          <w:color w:val="auto"/>
          <w:sz w:val="24"/>
          <w:szCs w:val="24"/>
          <w:highlight w:val="none"/>
        </w:rPr>
        <w:t>一、磋商须知</w:t>
      </w:r>
      <w:r>
        <w:rPr>
          <w:rFonts w:hint="eastAsia" w:ascii="宋体" w:hAnsi="宋体" w:cs="宋体"/>
          <w:color w:val="auto"/>
          <w:sz w:val="24"/>
          <w:szCs w:val="24"/>
          <w:highlight w:val="none"/>
          <w:lang w:val="zh-CN"/>
        </w:rPr>
        <w:t>前附表</w:t>
      </w:r>
      <w:bookmarkEnd w:id="20"/>
      <w:bookmarkEnd w:id="21"/>
      <w:bookmarkEnd w:id="22"/>
      <w:bookmarkEnd w:id="23"/>
    </w:p>
    <w:p>
      <w:pPr>
        <w:autoSpaceDE w:val="0"/>
        <w:autoSpaceDN w:val="0"/>
        <w:spacing w:line="360" w:lineRule="auto"/>
        <w:rPr>
          <w:rFonts w:ascii="宋体" w:cs="Times New Roman"/>
          <w:color w:val="auto"/>
          <w:sz w:val="24"/>
          <w:szCs w:val="24"/>
          <w:highlight w:val="none"/>
          <w:lang w:val="zh-CN"/>
        </w:rPr>
      </w:pPr>
      <w:r>
        <w:rPr>
          <w:rFonts w:hint="eastAsia" w:ascii="宋体" w:hAnsi="宋体" w:cs="宋体"/>
          <w:color w:val="auto"/>
          <w:sz w:val="24"/>
          <w:szCs w:val="24"/>
          <w:highlight w:val="none"/>
        </w:rPr>
        <w:t>供应商应仔细阅读竞争性磋商采购文件的第二章“磋商须知”，下面所列资料是对“磋商须知”的具体补充和说明。如有矛盾，应以本表为准。</w:t>
      </w:r>
    </w:p>
    <w:tbl>
      <w:tblPr>
        <w:tblStyle w:val="18"/>
        <w:tblW w:w="9279" w:type="dxa"/>
        <w:jc w:val="center"/>
        <w:tblLayout w:type="fixed"/>
        <w:tblCellMar>
          <w:top w:w="0" w:type="dxa"/>
          <w:left w:w="10" w:type="dxa"/>
          <w:bottom w:w="0" w:type="dxa"/>
          <w:right w:w="10" w:type="dxa"/>
        </w:tblCellMar>
      </w:tblPr>
      <w:tblGrid>
        <w:gridCol w:w="830"/>
        <w:gridCol w:w="947"/>
        <w:gridCol w:w="7502"/>
      </w:tblGrid>
      <w:tr>
        <w:tblPrEx>
          <w:tblCellMar>
            <w:top w:w="0" w:type="dxa"/>
            <w:left w:w="10" w:type="dxa"/>
            <w:bottom w:w="0" w:type="dxa"/>
            <w:right w:w="10" w:type="dxa"/>
          </w:tblCellMar>
        </w:tblPrEx>
        <w:trPr>
          <w:trHeight w:val="90" w:hRule="atLeast"/>
          <w:jc w:val="center"/>
        </w:trPr>
        <w:tc>
          <w:tcPr>
            <w:tcW w:w="830" w:type="dxa"/>
            <w:tcBorders>
              <w:top w:val="single" w:color="auto" w:sz="12" w:space="0"/>
              <w:left w:val="single" w:color="auto" w:sz="12" w:space="0"/>
              <w:bottom w:val="single" w:color="auto" w:sz="4" w:space="0"/>
              <w:right w:val="single" w:color="auto" w:sz="4" w:space="0"/>
            </w:tcBorders>
            <w:vAlign w:val="bottom"/>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b/>
                <w:bCs/>
                <w:color w:val="auto"/>
                <w:sz w:val="24"/>
                <w:szCs w:val="24"/>
                <w:highlight w:val="none"/>
              </w:rPr>
            </w:pPr>
            <w:bookmarkStart w:id="24" w:name="_Toc12541"/>
            <w:r>
              <w:rPr>
                <w:rFonts w:hint="eastAsia" w:ascii="宋体" w:hAnsi="宋体" w:eastAsia="宋体" w:cs="宋体"/>
                <w:b/>
                <w:bCs/>
                <w:color w:val="auto"/>
                <w:sz w:val="24"/>
                <w:szCs w:val="24"/>
                <w:highlight w:val="none"/>
                <w:lang w:val="zh-CN"/>
              </w:rPr>
              <w:t>序号</w:t>
            </w:r>
          </w:p>
        </w:tc>
        <w:tc>
          <w:tcPr>
            <w:tcW w:w="8449" w:type="dxa"/>
            <w:gridSpan w:val="2"/>
            <w:tcBorders>
              <w:top w:val="single" w:color="auto" w:sz="12" w:space="0"/>
              <w:left w:val="single" w:color="auto" w:sz="4" w:space="0"/>
              <w:bottom w:val="single" w:color="auto" w:sz="4" w:space="0"/>
              <w:right w:val="single" w:color="auto" w:sz="12" w:space="0"/>
            </w:tcBorders>
            <w:vAlign w:val="bottom"/>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内      容</w:t>
            </w:r>
          </w:p>
        </w:tc>
      </w:tr>
      <w:tr>
        <w:tblPrEx>
          <w:tblCellMar>
            <w:top w:w="0" w:type="dxa"/>
            <w:left w:w="10" w:type="dxa"/>
            <w:bottom w:w="0" w:type="dxa"/>
            <w:right w:w="10" w:type="dxa"/>
          </w:tblCellMar>
        </w:tblPrEx>
        <w:trPr>
          <w:trHeight w:val="914"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Cs/>
                <w:color w:val="auto"/>
                <w:kern w:val="44"/>
                <w:sz w:val="24"/>
                <w:szCs w:val="24"/>
                <w:highlight w:val="none"/>
                <w:u w:val="none"/>
                <w:lang w:eastAsia="zh-CN"/>
              </w:rPr>
              <w:t>采购</w:t>
            </w:r>
            <w:r>
              <w:rPr>
                <w:rFonts w:hint="eastAsia" w:ascii="宋体" w:hAnsi="宋体" w:eastAsia="宋体" w:cs="宋体"/>
                <w:bCs/>
                <w:color w:val="auto"/>
                <w:kern w:val="44"/>
                <w:sz w:val="24"/>
                <w:szCs w:val="24"/>
                <w:highlight w:val="none"/>
                <w:u w:val="none"/>
              </w:rPr>
              <w:t>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孝感创聚能源有限公司</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44"/>
                <w:sz w:val="24"/>
                <w:szCs w:val="24"/>
                <w:highlight w:val="none"/>
                <w:u w:val="none"/>
              </w:rPr>
              <w:t>采购代理机构：</w:t>
            </w:r>
            <w:r>
              <w:rPr>
                <w:rFonts w:hint="eastAsia" w:ascii="宋体" w:hAnsi="宋体" w:cs="宋体"/>
                <w:bCs/>
                <w:color w:val="auto"/>
                <w:kern w:val="44"/>
                <w:sz w:val="24"/>
                <w:szCs w:val="24"/>
                <w:highlight w:val="none"/>
                <w:u w:val="none"/>
                <w:lang w:eastAsia="zh-CN"/>
              </w:rPr>
              <w:t>惠通建管科技有限公司</w:t>
            </w:r>
          </w:p>
        </w:tc>
      </w:tr>
      <w:tr>
        <w:tblPrEx>
          <w:tblCellMar>
            <w:top w:w="0" w:type="dxa"/>
            <w:left w:w="10" w:type="dxa"/>
            <w:bottom w:w="0" w:type="dxa"/>
            <w:right w:w="10" w:type="dxa"/>
          </w:tblCellMar>
        </w:tblPrEx>
        <w:trPr>
          <w:trHeight w:val="844"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服务期：</w:t>
            </w:r>
            <w:r>
              <w:rPr>
                <w:rFonts w:hint="eastAsia" w:ascii="宋体" w:hAnsi="宋体" w:cs="宋体"/>
                <w:color w:val="auto"/>
                <w:sz w:val="24"/>
                <w:szCs w:val="24"/>
                <w:highlight w:val="none"/>
                <w:lang w:val="en-US" w:eastAsia="zh-CN"/>
              </w:rPr>
              <w:t>120日历天</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end"/>
            </w:r>
          </w:p>
        </w:tc>
      </w:tr>
      <w:tr>
        <w:tblPrEx>
          <w:tblCellMar>
            <w:top w:w="0" w:type="dxa"/>
            <w:left w:w="10" w:type="dxa"/>
            <w:bottom w:w="0" w:type="dxa"/>
            <w:right w:w="10" w:type="dxa"/>
          </w:tblCellMar>
        </w:tblPrEx>
        <w:trPr>
          <w:trHeight w:val="412"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响应供应商资质条件、能力和信誉</w:t>
            </w:r>
            <w:r>
              <w:rPr>
                <w:rFonts w:hint="eastAsia" w:ascii="宋体" w:hAnsi="宋体" w:eastAsia="宋体" w:cs="宋体"/>
                <w:color w:val="auto"/>
                <w:sz w:val="24"/>
                <w:szCs w:val="24"/>
                <w:highlight w:val="none"/>
                <w:lang w:val="zh-CN"/>
              </w:rPr>
              <w:t>：符合本文件</w:t>
            </w:r>
            <w:r>
              <w:rPr>
                <w:rFonts w:hint="eastAsia" w:ascii="宋体" w:hAnsi="宋体" w:cs="宋体"/>
                <w:color w:val="auto"/>
                <w:sz w:val="24"/>
                <w:szCs w:val="24"/>
                <w:highlight w:val="none"/>
                <w:lang w:val="zh-CN"/>
              </w:rPr>
              <w:t>第四章“评定方法”中的内容</w:t>
            </w:r>
          </w:p>
        </w:tc>
      </w:tr>
      <w:tr>
        <w:tblPrEx>
          <w:tblCellMar>
            <w:top w:w="0" w:type="dxa"/>
            <w:left w:w="10" w:type="dxa"/>
            <w:bottom w:w="0" w:type="dxa"/>
            <w:right w:w="10" w:type="dxa"/>
          </w:tblCellMar>
        </w:tblPrEx>
        <w:trPr>
          <w:trHeight w:val="512"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numPr>
                <w:ilvl w:val="0"/>
                <w:numId w:val="0"/>
              </w:numPr>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是否接受联合体投标：</w:t>
            </w: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eastAsia="zh-CN"/>
              </w:rPr>
              <w:t>不接受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en-US" w:eastAsia="zh-CN"/>
              </w:rPr>
              <w:t>接</w:t>
            </w:r>
            <w:r>
              <w:rPr>
                <w:rFonts w:hint="eastAsia" w:ascii="宋体" w:hAnsi="宋体" w:cs="宋体"/>
                <w:color w:val="auto"/>
                <w:sz w:val="24"/>
                <w:szCs w:val="24"/>
                <w:highlight w:val="none"/>
                <w:lang w:val="en-US" w:eastAsia="zh-CN"/>
              </w:rPr>
              <w:t>受</w:t>
            </w:r>
            <w:r>
              <w:rPr>
                <w:rFonts w:hint="eastAsia" w:ascii="宋体" w:hAnsi="宋体" w:eastAsia="宋体" w:cs="宋体"/>
                <w:color w:val="auto"/>
                <w:sz w:val="24"/>
                <w:szCs w:val="24"/>
                <w:highlight w:val="none"/>
                <w:lang w:val="en-US" w:eastAsia="zh-CN"/>
              </w:rPr>
              <w:t>，提供联合体协议</w:t>
            </w:r>
          </w:p>
        </w:tc>
      </w:tr>
      <w:tr>
        <w:tblPrEx>
          <w:tblCellMar>
            <w:top w:w="0" w:type="dxa"/>
            <w:left w:w="10" w:type="dxa"/>
            <w:bottom w:w="0" w:type="dxa"/>
            <w:right w:w="10" w:type="dxa"/>
          </w:tblCellMar>
        </w:tblPrEx>
        <w:trPr>
          <w:cantSplit/>
          <w:trHeight w:val="399"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投标货币：人民币</w:t>
            </w:r>
          </w:p>
        </w:tc>
      </w:tr>
      <w:tr>
        <w:tblPrEx>
          <w:tblCellMar>
            <w:top w:w="0" w:type="dxa"/>
            <w:left w:w="10" w:type="dxa"/>
            <w:bottom w:w="0" w:type="dxa"/>
            <w:right w:w="10" w:type="dxa"/>
          </w:tblCellMar>
        </w:tblPrEx>
        <w:trPr>
          <w:trHeight w:val="415"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6</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备选方案：本次招标不接受备选方案，否则</w:t>
            </w:r>
            <w:r>
              <w:rPr>
                <w:rFonts w:hint="eastAsia" w:ascii="宋体" w:hAnsi="宋体" w:eastAsia="宋体" w:cs="宋体"/>
                <w:b/>
                <w:bCs/>
                <w:color w:val="auto"/>
                <w:sz w:val="24"/>
                <w:szCs w:val="24"/>
                <w:highlight w:val="none"/>
                <w:lang w:val="zh-CN"/>
              </w:rPr>
              <w:t>视为无效投标。</w:t>
            </w:r>
            <w:r>
              <w:rPr>
                <w:rFonts w:hint="eastAsia" w:ascii="宋体" w:hAnsi="宋体" w:eastAsia="宋体" w:cs="宋体"/>
                <w:b/>
                <w:bCs/>
                <w:color w:val="auto"/>
                <w:sz w:val="24"/>
                <w:szCs w:val="24"/>
                <w:highlight w:val="none"/>
              </w:rPr>
              <w:t>☆</w:t>
            </w:r>
          </w:p>
        </w:tc>
      </w:tr>
      <w:tr>
        <w:tblPrEx>
          <w:tblCellMar>
            <w:top w:w="0" w:type="dxa"/>
            <w:left w:w="10" w:type="dxa"/>
            <w:bottom w:w="0" w:type="dxa"/>
            <w:right w:w="10" w:type="dxa"/>
          </w:tblCellMar>
        </w:tblPrEx>
        <w:trPr>
          <w:trHeight w:val="65"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7</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投标有效期：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60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日历天</w:t>
            </w:r>
            <w:r>
              <w:rPr>
                <w:rFonts w:hint="eastAsia" w:ascii="宋体" w:hAnsi="宋体" w:eastAsia="宋体" w:cs="宋体"/>
                <w:b/>
                <w:bCs/>
                <w:color w:val="auto"/>
                <w:sz w:val="24"/>
                <w:szCs w:val="24"/>
                <w:highlight w:val="none"/>
                <w:lang w:val="zh-CN"/>
              </w:rPr>
              <w:t>，不满足要求的响应文件视为无效投标。</w:t>
            </w:r>
            <w:r>
              <w:rPr>
                <w:rFonts w:hint="eastAsia" w:ascii="宋体" w:hAnsi="宋体" w:eastAsia="宋体" w:cs="宋体"/>
                <w:b/>
                <w:bCs/>
                <w:color w:val="auto"/>
                <w:sz w:val="24"/>
                <w:szCs w:val="24"/>
                <w:highlight w:val="none"/>
              </w:rPr>
              <w:t>☆</w:t>
            </w:r>
          </w:p>
        </w:tc>
      </w:tr>
      <w:tr>
        <w:tblPrEx>
          <w:tblCellMar>
            <w:top w:w="0" w:type="dxa"/>
            <w:left w:w="10" w:type="dxa"/>
            <w:bottom w:w="0" w:type="dxa"/>
            <w:right w:w="10" w:type="dxa"/>
          </w:tblCellMar>
        </w:tblPrEx>
        <w:trPr>
          <w:trHeight w:val="768"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8</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响应文件份数：</w:t>
            </w:r>
            <w:r>
              <w:rPr>
                <w:rFonts w:hint="eastAsia" w:ascii="宋体" w:hAnsi="宋体" w:eastAsia="宋体" w:cs="宋体"/>
                <w:color w:val="auto"/>
                <w:sz w:val="24"/>
                <w:szCs w:val="24"/>
                <w:highlight w:val="none"/>
              </w:rPr>
              <w:t>正本一份，副本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正副本保持一致，不一致以正本为准。</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响应文件退还：</w:t>
            </w:r>
            <w:r>
              <w:rPr>
                <w:rFonts w:hint="eastAsia" w:ascii="宋体" w:hAnsi="宋体" w:eastAsia="宋体" w:cs="宋体"/>
                <w:color w:val="auto"/>
                <w:sz w:val="24"/>
                <w:szCs w:val="24"/>
                <w:highlight w:val="none"/>
              </w:rPr>
              <w:t>概不退还</w:t>
            </w:r>
            <w:r>
              <w:rPr>
                <w:rFonts w:hint="eastAsia" w:ascii="宋体" w:hAnsi="宋体" w:eastAsia="宋体" w:cs="宋体"/>
                <w:color w:val="auto"/>
                <w:sz w:val="24"/>
                <w:szCs w:val="24"/>
                <w:highlight w:val="none"/>
                <w:lang w:eastAsia="zh-CN"/>
              </w:rPr>
              <w:t>。</w:t>
            </w:r>
          </w:p>
        </w:tc>
      </w:tr>
      <w:tr>
        <w:tblPrEx>
          <w:tblCellMar>
            <w:top w:w="0" w:type="dxa"/>
            <w:left w:w="10" w:type="dxa"/>
            <w:bottom w:w="0" w:type="dxa"/>
            <w:right w:w="10" w:type="dxa"/>
          </w:tblCellMar>
        </w:tblPrEx>
        <w:trPr>
          <w:trHeight w:val="59"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9</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文件的装订：</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响应文件必须胶装</w:t>
            </w:r>
            <w:r>
              <w:rPr>
                <w:rFonts w:hint="eastAsia" w:ascii="宋体" w:hAnsi="宋体" w:cs="宋体"/>
                <w:b/>
                <w:bCs/>
                <w:color w:val="auto"/>
                <w:sz w:val="24"/>
                <w:szCs w:val="24"/>
                <w:highlight w:val="none"/>
                <w:lang w:val="zh-CN"/>
              </w:rPr>
              <w:t>成一册</w:t>
            </w:r>
            <w:r>
              <w:rPr>
                <w:rFonts w:hint="eastAsia" w:ascii="宋体" w:hAnsi="宋体" w:eastAsia="宋体" w:cs="宋体"/>
                <w:b/>
                <w:bCs/>
                <w:color w:val="auto"/>
                <w:sz w:val="24"/>
                <w:szCs w:val="24"/>
                <w:highlight w:val="none"/>
                <w:lang w:val="zh-CN"/>
              </w:rPr>
              <w:t>，装订牢固、不易拆散，不得活页装订。</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zh-CN"/>
              </w:rPr>
              <w:t>响应供应商在投标时请另外准备“法定代表人代表授权书原件（一份）”，供开标现场核验身份；</w:t>
            </w:r>
          </w:p>
        </w:tc>
      </w:tr>
      <w:tr>
        <w:tblPrEx>
          <w:tblCellMar>
            <w:top w:w="0" w:type="dxa"/>
            <w:left w:w="10" w:type="dxa"/>
            <w:bottom w:w="0" w:type="dxa"/>
            <w:right w:w="10" w:type="dxa"/>
          </w:tblCellMar>
        </w:tblPrEx>
        <w:trPr>
          <w:trHeight w:val="65"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10</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6"/>
                <w:sz w:val="24"/>
                <w:szCs w:val="24"/>
                <w:highlight w:val="none"/>
                <w:lang w:val="zh-CN"/>
              </w:rPr>
              <w:t>文件的密封：</w:t>
            </w:r>
            <w:r>
              <w:rPr>
                <w:rFonts w:hint="eastAsia" w:ascii="宋体" w:hAnsi="宋体" w:eastAsia="宋体" w:cs="宋体"/>
                <w:color w:val="auto"/>
                <w:sz w:val="24"/>
                <w:szCs w:val="24"/>
                <w:highlight w:val="none"/>
                <w:lang w:val="en-US" w:eastAsia="zh-CN"/>
              </w:rPr>
              <w:t>文件密封完好，封口处、骑缝处加盖公章。</w:t>
            </w:r>
          </w:p>
        </w:tc>
      </w:tr>
      <w:tr>
        <w:tblPrEx>
          <w:tblCellMar>
            <w:top w:w="0" w:type="dxa"/>
            <w:left w:w="10" w:type="dxa"/>
            <w:bottom w:w="0" w:type="dxa"/>
            <w:right w:w="10" w:type="dxa"/>
          </w:tblCellMar>
        </w:tblPrEx>
        <w:trPr>
          <w:trHeight w:val="441"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color w:val="auto"/>
                <w:sz w:val="24"/>
                <w:szCs w:val="24"/>
                <w:highlight w:val="none"/>
                <w:lang w:val="zh-CN"/>
              </w:rPr>
            </w:pPr>
            <w:r>
              <w:rPr>
                <w:rFonts w:hint="eastAsia"/>
                <w:color w:val="auto"/>
                <w:sz w:val="24"/>
                <w:szCs w:val="24"/>
                <w:highlight w:val="none"/>
                <w:lang w:val="zh-CN"/>
              </w:rPr>
              <w:t>文件封装的封面标记要求：</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color w:val="auto"/>
                <w:sz w:val="24"/>
                <w:szCs w:val="24"/>
                <w:highlight w:val="none"/>
                <w:lang w:val="zh-CN"/>
              </w:rPr>
            </w:pPr>
            <w:r>
              <w:rPr>
                <w:rFonts w:hint="eastAsia"/>
                <w:color w:val="auto"/>
                <w:sz w:val="24"/>
                <w:szCs w:val="24"/>
                <w:highlight w:val="none"/>
                <w:lang w:val="zh-CN"/>
              </w:rPr>
              <w:t>（项目名称、包号）</w:t>
            </w:r>
          </w:p>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zh-CN"/>
              </w:rPr>
              <w:t>响应文件在</w:t>
            </w:r>
            <w:r>
              <w:rPr>
                <w:rFonts w:hint="eastAsia"/>
                <w:color w:val="auto"/>
                <w:sz w:val="24"/>
                <w:szCs w:val="24"/>
                <w:highlight w:val="none"/>
                <w:lang w:val="en-US" w:eastAsia="zh-CN"/>
              </w:rPr>
              <w:t xml:space="preserve">  年  月  日  时  分前不得开启</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供应商名称（公章）：</w:t>
            </w:r>
          </w:p>
          <w:p>
            <w:pPr>
              <w:keepNext w:val="0"/>
              <w:keepLines w:val="0"/>
              <w:pageBreakBefore w:val="0"/>
              <w:widowControl w:val="0"/>
              <w:kinsoku/>
              <w:wordWrap/>
              <w:overflowPunct/>
              <w:topLinePunct w:val="0"/>
              <w:bidi w:val="0"/>
              <w:adjustRightInd/>
              <w:snapToGrid/>
              <w:spacing w:line="380" w:lineRule="exac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响应供应商地址：</w:t>
            </w:r>
          </w:p>
        </w:tc>
      </w:tr>
      <w:tr>
        <w:tblPrEx>
          <w:tblCellMar>
            <w:top w:w="0" w:type="dxa"/>
            <w:left w:w="10" w:type="dxa"/>
            <w:bottom w:w="0" w:type="dxa"/>
            <w:right w:w="10" w:type="dxa"/>
          </w:tblCellMar>
        </w:tblPrEx>
        <w:trPr>
          <w:trHeight w:val="377"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投标截止时间和地点：详见本文件第一章</w:t>
            </w:r>
          </w:p>
        </w:tc>
      </w:tr>
      <w:tr>
        <w:tblPrEx>
          <w:tblCellMar>
            <w:top w:w="0" w:type="dxa"/>
            <w:left w:w="10" w:type="dxa"/>
            <w:bottom w:w="0" w:type="dxa"/>
            <w:right w:w="10" w:type="dxa"/>
          </w:tblCellMar>
        </w:tblPrEx>
        <w:trPr>
          <w:trHeight w:val="242"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开标时间和地点：详见本文件第一章</w:t>
            </w:r>
          </w:p>
        </w:tc>
      </w:tr>
      <w:tr>
        <w:tblPrEx>
          <w:tblCellMar>
            <w:top w:w="0" w:type="dxa"/>
            <w:left w:w="10" w:type="dxa"/>
            <w:bottom w:w="0" w:type="dxa"/>
            <w:right w:w="10" w:type="dxa"/>
          </w:tblCellMar>
        </w:tblPrEx>
        <w:trPr>
          <w:trHeight w:val="178"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成交后分包：</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rPr>
              <w:t>不允许</w:t>
            </w:r>
          </w:p>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zh-CN"/>
              </w:rPr>
              <w:t>允许</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分包内容要求：</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分包金额要求：</w:t>
            </w:r>
            <w:r>
              <w:rPr>
                <w:rFonts w:hint="eastAsia" w:ascii="宋体" w:hAnsi="宋体" w:eastAsia="宋体" w:cs="宋体"/>
                <w:color w:val="auto"/>
                <w:sz w:val="24"/>
                <w:szCs w:val="24"/>
                <w:highlight w:val="none"/>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分包资质要求：</w:t>
            </w:r>
            <w:r>
              <w:rPr>
                <w:rFonts w:hint="eastAsia" w:ascii="宋体" w:hAnsi="宋体" w:eastAsia="宋体" w:cs="宋体"/>
                <w:color w:val="auto"/>
                <w:sz w:val="24"/>
                <w:szCs w:val="24"/>
                <w:highlight w:val="none"/>
                <w:u w:val="single"/>
                <w:lang w:val="en-US" w:eastAsia="zh-CN"/>
              </w:rPr>
              <w:t xml:space="preserve">    </w:t>
            </w:r>
          </w:p>
        </w:tc>
      </w:tr>
      <w:tr>
        <w:tblPrEx>
          <w:tblCellMar>
            <w:top w:w="0" w:type="dxa"/>
            <w:left w:w="10" w:type="dxa"/>
            <w:bottom w:w="0" w:type="dxa"/>
            <w:right w:w="10" w:type="dxa"/>
          </w:tblCellMar>
        </w:tblPrEx>
        <w:trPr>
          <w:trHeight w:val="300"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现场考察：</w:t>
            </w:r>
          </w:p>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sym w:font="Wingdings" w:char="00FE"/>
            </w:r>
            <w:r>
              <w:rPr>
                <w:rFonts w:hint="eastAsia" w:ascii="宋体" w:hAnsi="宋体" w:eastAsia="宋体" w:cs="宋体"/>
                <w:b w:val="0"/>
                <w:bCs/>
                <w:color w:val="auto"/>
                <w:sz w:val="24"/>
                <w:szCs w:val="24"/>
                <w:highlight w:val="none"/>
                <w:lang w:val="zh-CN"/>
              </w:rPr>
              <w:t>不组织</w:t>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sym w:font="Wingdings" w:char="00A8"/>
            </w:r>
            <w:r>
              <w:rPr>
                <w:rFonts w:hint="eastAsia" w:ascii="宋体" w:hAnsi="宋体" w:eastAsia="宋体" w:cs="宋体"/>
                <w:b w:val="0"/>
                <w:bCs/>
                <w:color w:val="auto"/>
                <w:sz w:val="24"/>
                <w:szCs w:val="24"/>
                <w:highlight w:val="none"/>
                <w:lang w:val="zh-CN"/>
              </w:rPr>
              <w:t>组织</w:t>
            </w:r>
            <w:r>
              <w:rPr>
                <w:rFonts w:hint="eastAsia" w:ascii="宋体" w:hAnsi="宋体" w:eastAsia="宋体" w:cs="宋体"/>
                <w:b w:val="0"/>
                <w:bCs/>
                <w:color w:val="auto"/>
                <w:sz w:val="24"/>
                <w:szCs w:val="24"/>
                <w:highlight w:val="none"/>
                <w:lang w:val="en-US" w:eastAsia="zh-CN"/>
              </w:rPr>
              <w:t xml:space="preserve">   考察时间：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考察地点：</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_</w:t>
            </w:r>
          </w:p>
        </w:tc>
      </w:tr>
      <w:tr>
        <w:tblPrEx>
          <w:tblCellMar>
            <w:top w:w="0" w:type="dxa"/>
            <w:left w:w="10" w:type="dxa"/>
            <w:bottom w:w="0" w:type="dxa"/>
            <w:right w:w="10" w:type="dxa"/>
          </w:tblCellMar>
        </w:tblPrEx>
        <w:trPr>
          <w:trHeight w:val="167" w:hRule="atLeast"/>
          <w:jc w:val="center"/>
        </w:trPr>
        <w:tc>
          <w:tcPr>
            <w:tcW w:w="830" w:type="dxa"/>
            <w:vMerge w:val="restart"/>
            <w:tcBorders>
              <w:top w:val="single" w:color="auto" w:sz="4" w:space="0"/>
              <w:left w:val="single" w:color="auto" w:sz="12"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7" w:type="dxa"/>
            <w:vMerge w:val="restart"/>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政府采购政策</w:t>
            </w:r>
          </w:p>
        </w:tc>
        <w:tc>
          <w:tcPr>
            <w:tcW w:w="7502" w:type="dxa"/>
            <w:tcBorders>
              <w:top w:val="single" w:color="auto" w:sz="4" w:space="0"/>
              <w:left w:val="single" w:color="auto" w:sz="4" w:space="0"/>
              <w:bottom w:val="single" w:color="auto" w:sz="4" w:space="0"/>
              <w:right w:val="single" w:color="auto" w:sz="12" w:space="0"/>
            </w:tcBorders>
            <w:vAlign w:val="center"/>
          </w:tcPr>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是否允许进口产品：</w:t>
            </w: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eastAsia="zh-CN"/>
              </w:rPr>
              <w:t>不</w:t>
            </w:r>
            <w:r>
              <w:rPr>
                <w:rFonts w:hint="eastAsia" w:ascii="宋体" w:hAnsi="宋体" w:eastAsia="宋体" w:cs="宋体"/>
                <w:color w:val="auto"/>
                <w:sz w:val="24"/>
                <w:szCs w:val="24"/>
                <w:highlight w:val="none"/>
                <w:lang w:val="zh-CN"/>
              </w:rPr>
              <w:t>允许</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zh-CN"/>
              </w:rPr>
              <w:t>允许</w:t>
            </w:r>
          </w:p>
        </w:tc>
      </w:tr>
      <w:tr>
        <w:tblPrEx>
          <w:tblCellMar>
            <w:top w:w="0" w:type="dxa"/>
            <w:left w:w="10" w:type="dxa"/>
            <w:bottom w:w="0" w:type="dxa"/>
            <w:right w:w="10" w:type="dxa"/>
          </w:tblCellMar>
        </w:tblPrEx>
        <w:trPr>
          <w:trHeight w:val="275" w:hRule="atLeast"/>
          <w:jc w:val="center"/>
        </w:trPr>
        <w:tc>
          <w:tcPr>
            <w:tcW w:w="830" w:type="dxa"/>
            <w:vMerge w:val="continue"/>
            <w:tcBorders>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p>
        </w:tc>
        <w:tc>
          <w:tcPr>
            <w:tcW w:w="947" w:type="dxa"/>
            <w:vMerge w:val="continue"/>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p>
        </w:tc>
        <w:tc>
          <w:tcPr>
            <w:tcW w:w="750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sym w:font="Wingdings 2" w:char="0052"/>
            </w:r>
            <w:r>
              <w:rPr>
                <w:rFonts w:hint="eastAsia" w:ascii="宋体" w:hAnsi="宋体" w:eastAsia="宋体" w:cs="宋体"/>
                <w:color w:val="auto"/>
                <w:sz w:val="24"/>
                <w:szCs w:val="24"/>
                <w:highlight w:val="none"/>
                <w:lang w:val="zh-CN"/>
              </w:rPr>
              <w:t>本项目专门面向中小企业采购</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sym w:font="Wingdings 2" w:char="00A3"/>
            </w:r>
            <w:r>
              <w:rPr>
                <w:rFonts w:hint="eastAsia" w:ascii="宋体" w:hAnsi="宋体" w:eastAsia="宋体" w:cs="宋体"/>
                <w:color w:val="auto"/>
                <w:sz w:val="24"/>
                <w:szCs w:val="24"/>
                <w:highlight w:val="none"/>
                <w:lang w:val="zh-CN"/>
              </w:rPr>
              <w:t>本项目</w:t>
            </w:r>
            <w:r>
              <w:rPr>
                <w:rFonts w:hint="eastAsia" w:ascii="宋体" w:hAnsi="宋体" w:cs="宋体"/>
                <w:color w:val="auto"/>
                <w:sz w:val="24"/>
                <w:szCs w:val="24"/>
                <w:highlight w:val="none"/>
                <w:lang w:val="zh-CN"/>
              </w:rPr>
              <w:t>非</w:t>
            </w:r>
            <w:r>
              <w:rPr>
                <w:rFonts w:hint="eastAsia" w:ascii="宋体" w:hAnsi="宋体" w:eastAsia="宋体" w:cs="宋体"/>
                <w:color w:val="auto"/>
                <w:sz w:val="24"/>
                <w:szCs w:val="24"/>
                <w:highlight w:val="none"/>
                <w:lang w:val="zh-CN"/>
              </w:rPr>
              <w:t>专门面向中小企业采购</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小型和微型企业政策：</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为专门面向中小微企业采购的项目，供应商须出具《中小企业声明函》（格式见《《政府采购促进中小企业发展管理办法》（财库[2020]46号）），并对声明的真实性负责。中小企业划分标准所属行业：商务和租赁服务。</w:t>
            </w:r>
          </w:p>
        </w:tc>
      </w:tr>
      <w:tr>
        <w:tblPrEx>
          <w:tblCellMar>
            <w:top w:w="0" w:type="dxa"/>
            <w:left w:w="10" w:type="dxa"/>
            <w:bottom w:w="0" w:type="dxa"/>
            <w:right w:w="10" w:type="dxa"/>
          </w:tblCellMar>
        </w:tblPrEx>
        <w:trPr>
          <w:trHeight w:val="203" w:hRule="atLeast"/>
          <w:jc w:val="center"/>
        </w:trPr>
        <w:tc>
          <w:tcPr>
            <w:tcW w:w="830" w:type="dxa"/>
            <w:vMerge w:val="continue"/>
            <w:tcBorders>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p>
        </w:tc>
        <w:tc>
          <w:tcPr>
            <w:tcW w:w="947" w:type="dxa"/>
            <w:vMerge w:val="continue"/>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p>
        </w:tc>
        <w:tc>
          <w:tcPr>
            <w:tcW w:w="7502" w:type="dxa"/>
            <w:tcBorders>
              <w:top w:val="single" w:color="auto" w:sz="4" w:space="0"/>
              <w:left w:val="single" w:color="auto" w:sz="4" w:space="0"/>
              <w:bottom w:val="single" w:color="auto" w:sz="4" w:space="0"/>
              <w:right w:val="single" w:color="auto" w:sz="12" w:space="0"/>
            </w:tcBorders>
            <w:vAlign w:val="center"/>
          </w:tcPr>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采购节能产品政策：</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rPr>
              <w:t>不适用</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zh-CN"/>
              </w:rPr>
              <w:t>适用</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依据国家确定的认证机构出具的、处于有效期之内的节能产品认证证书，</w:t>
            </w:r>
            <w:r>
              <w:rPr>
                <w:rFonts w:hint="eastAsia" w:ascii="宋体" w:hAnsi="宋体" w:cs="宋体"/>
                <w:color w:val="auto"/>
                <w:sz w:val="24"/>
                <w:szCs w:val="24"/>
                <w:highlight w:val="none"/>
                <w:lang w:val="zh-CN" w:eastAsia="zh-CN"/>
              </w:rPr>
              <w:t>予以</w:t>
            </w:r>
            <w:r>
              <w:rPr>
                <w:rFonts w:hint="eastAsia" w:ascii="宋体" w:hAnsi="宋体" w:cs="宋体"/>
                <w:color w:val="auto"/>
                <w:sz w:val="24"/>
                <w:szCs w:val="24"/>
                <w:highlight w:val="none"/>
                <w:lang w:val="zh-CN"/>
              </w:rPr>
              <w:t>优先采购</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响应供应商</w:t>
            </w:r>
            <w:r>
              <w:rPr>
                <w:rFonts w:hint="eastAsia" w:ascii="宋体" w:hAnsi="宋体" w:eastAsia="宋体" w:cs="宋体"/>
                <w:color w:val="auto"/>
                <w:sz w:val="24"/>
                <w:szCs w:val="24"/>
                <w:highlight w:val="none"/>
                <w:lang w:val="zh-CN"/>
              </w:rPr>
              <w:t>未按要求提供证书的，不享受该项政策。</w:t>
            </w:r>
          </w:p>
        </w:tc>
      </w:tr>
      <w:tr>
        <w:tblPrEx>
          <w:tblCellMar>
            <w:top w:w="0" w:type="dxa"/>
            <w:left w:w="10" w:type="dxa"/>
            <w:bottom w:w="0" w:type="dxa"/>
            <w:right w:w="10" w:type="dxa"/>
          </w:tblCellMar>
        </w:tblPrEx>
        <w:trPr>
          <w:trHeight w:val="189" w:hRule="atLeast"/>
          <w:jc w:val="center"/>
        </w:trPr>
        <w:tc>
          <w:tcPr>
            <w:tcW w:w="830" w:type="dxa"/>
            <w:vMerge w:val="continue"/>
            <w:tcBorders>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p>
        </w:tc>
        <w:tc>
          <w:tcPr>
            <w:tcW w:w="947" w:type="dxa"/>
            <w:vMerge w:val="continue"/>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p>
        </w:tc>
        <w:tc>
          <w:tcPr>
            <w:tcW w:w="7502" w:type="dxa"/>
            <w:tcBorders>
              <w:top w:val="single" w:color="auto" w:sz="4" w:space="0"/>
              <w:left w:val="single" w:color="auto" w:sz="4" w:space="0"/>
              <w:bottom w:val="single" w:color="auto" w:sz="4" w:space="0"/>
              <w:right w:val="single" w:color="auto" w:sz="12" w:space="0"/>
            </w:tcBorders>
            <w:vAlign w:val="center"/>
          </w:tcPr>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采购环境标志产品政策：</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rPr>
              <w:t>不适用</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zh-CN"/>
              </w:rPr>
              <w:t>适用</w:t>
            </w:r>
          </w:p>
          <w:p>
            <w:pPr>
              <w:pStyle w:val="2"/>
              <w:keepNext w:val="0"/>
              <w:keepLines w:val="0"/>
              <w:pageBreakBefore w:val="0"/>
              <w:widowControl w:val="0"/>
              <w:kinsoku/>
              <w:wordWrap/>
              <w:overflowPunct/>
              <w:topLinePunct w:val="0"/>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依据国家确定的认证机构出具的、处于有效期之内的环境标志产品认证证书，</w:t>
            </w:r>
            <w:r>
              <w:rPr>
                <w:rFonts w:hint="eastAsia" w:ascii="宋体" w:hAnsi="宋体" w:cs="宋体"/>
                <w:color w:val="auto"/>
                <w:sz w:val="24"/>
                <w:szCs w:val="24"/>
                <w:highlight w:val="none"/>
                <w:lang w:val="zh-CN" w:eastAsia="zh-CN"/>
              </w:rPr>
              <w:t>予以</w:t>
            </w:r>
            <w:r>
              <w:rPr>
                <w:rFonts w:hint="eastAsia" w:ascii="宋体" w:hAnsi="宋体" w:cs="宋体"/>
                <w:color w:val="auto"/>
                <w:sz w:val="24"/>
                <w:szCs w:val="24"/>
                <w:highlight w:val="none"/>
                <w:lang w:val="zh-CN"/>
              </w:rPr>
              <w:t>优先采购。响应供应商</w:t>
            </w:r>
            <w:r>
              <w:rPr>
                <w:rFonts w:hint="eastAsia" w:ascii="宋体" w:hAnsi="宋体" w:eastAsia="宋体" w:cs="宋体"/>
                <w:color w:val="auto"/>
                <w:sz w:val="24"/>
                <w:szCs w:val="24"/>
                <w:highlight w:val="none"/>
                <w:lang w:val="zh-CN"/>
              </w:rPr>
              <w:t>未按要求提供证书的，不享受该项政策。</w:t>
            </w:r>
          </w:p>
        </w:tc>
      </w:tr>
      <w:tr>
        <w:tblPrEx>
          <w:tblCellMar>
            <w:top w:w="0" w:type="dxa"/>
            <w:left w:w="10" w:type="dxa"/>
            <w:bottom w:w="0" w:type="dxa"/>
            <w:right w:w="10" w:type="dxa"/>
          </w:tblCellMar>
        </w:tblPrEx>
        <w:trPr>
          <w:trHeight w:val="3166"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招标代理服务费：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收费标准：</w:t>
            </w:r>
            <w:r>
              <w:rPr>
                <w:rFonts w:hint="eastAsia" w:ascii="宋体" w:hAnsi="宋体" w:cs="宋体"/>
                <w:color w:val="auto"/>
                <w:sz w:val="24"/>
                <w:szCs w:val="24"/>
                <w:highlight w:val="none"/>
                <w:lang w:val="zh-CN" w:eastAsia="zh-CN"/>
              </w:rPr>
              <w:t>参照</w:t>
            </w:r>
            <w:r>
              <w:rPr>
                <w:rFonts w:hint="eastAsia" w:ascii="宋体" w:hAnsi="宋体" w:eastAsia="宋体" w:cs="宋体"/>
                <w:color w:val="auto"/>
                <w:sz w:val="24"/>
                <w:szCs w:val="24"/>
                <w:highlight w:val="none"/>
                <w:lang w:val="zh-CN"/>
              </w:rPr>
              <w:t>国家发展与改革委员会发改价格[2011]534号文规定标准计取。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招标代理服务费：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eastAsia="zh-CN"/>
              </w:rPr>
              <w:sym w:font="Wingdings" w:char="00FE"/>
            </w:r>
            <w:r>
              <w:rPr>
                <w:rFonts w:hint="eastAsia" w:ascii="宋体" w:hAnsi="宋体" w:eastAsia="宋体" w:cs="宋体"/>
                <w:color w:val="auto"/>
                <w:sz w:val="24"/>
                <w:szCs w:val="24"/>
                <w:highlight w:val="none"/>
                <w:lang w:val="zh-CN" w:eastAsia="zh-CN"/>
              </w:rPr>
              <w:t>中标单位支付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sym w:font="Wingdings" w:char="00A8"/>
            </w:r>
            <w:r>
              <w:rPr>
                <w:rFonts w:hint="eastAsia" w:ascii="宋体" w:hAnsi="宋体" w:eastAsia="宋体" w:cs="宋体"/>
                <w:color w:val="auto"/>
                <w:sz w:val="24"/>
                <w:szCs w:val="24"/>
                <w:highlight w:val="none"/>
                <w:lang w:val="zh-CN"/>
              </w:rPr>
              <w:t>招标单位支付</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支付时间：</w:t>
            </w:r>
            <w:r>
              <w:rPr>
                <w:rFonts w:hint="eastAsia" w:ascii="宋体" w:hAnsi="宋体" w:eastAsia="宋体" w:cs="宋体"/>
                <w:color w:val="auto"/>
                <w:sz w:val="24"/>
                <w:szCs w:val="24"/>
                <w:highlight w:val="none"/>
                <w:lang w:val="en-US" w:eastAsia="zh-CN"/>
              </w:rPr>
              <w:t>领取中标通知书时</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zh-CN"/>
              </w:rPr>
              <w:t>代理机构支付</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支付方式：</w:t>
            </w:r>
            <w:r>
              <w:rPr>
                <w:rFonts w:hint="eastAsia" w:ascii="宋体" w:hAnsi="宋体" w:cs="宋体"/>
                <w:color w:val="auto"/>
                <w:sz w:val="24"/>
                <w:szCs w:val="24"/>
                <w:highlight w:val="none"/>
                <w:lang w:eastAsia="zh-CN"/>
              </w:rPr>
              <w:t>现金支付。</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color w:val="auto"/>
                <w:highlight w:val="none"/>
                <w:lang w:val="zh-CN"/>
              </w:rPr>
            </w:pPr>
          </w:p>
        </w:tc>
      </w:tr>
      <w:tr>
        <w:tblPrEx>
          <w:tblCellMar>
            <w:top w:w="0" w:type="dxa"/>
            <w:left w:w="10" w:type="dxa"/>
            <w:bottom w:w="0" w:type="dxa"/>
            <w:right w:w="10" w:type="dxa"/>
          </w:tblCellMar>
        </w:tblPrEx>
        <w:trPr>
          <w:trHeight w:val="194" w:hRule="atLeast"/>
          <w:jc w:val="center"/>
        </w:trPr>
        <w:tc>
          <w:tcPr>
            <w:tcW w:w="83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844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适用法律：《中华人民共和国政府采购法》、《中华人民共和国政府采购法实施条例》、</w:t>
            </w:r>
            <w:r>
              <w:rPr>
                <w:rFonts w:hint="eastAsia" w:ascii="宋体" w:hAnsi="宋体" w:eastAsia="宋体" w:cs="宋体"/>
                <w:color w:val="auto"/>
                <w:sz w:val="24"/>
                <w:szCs w:val="24"/>
                <w:highlight w:val="none"/>
              </w:rPr>
              <w:t>《政府采购货物和服务招标投标管理办法》等相关法律法规。</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解释权：</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人、招标代理机构对本文件有最终解释权。</w:t>
            </w:r>
          </w:p>
        </w:tc>
      </w:tr>
      <w:tr>
        <w:tblPrEx>
          <w:tblCellMar>
            <w:top w:w="0" w:type="dxa"/>
            <w:left w:w="10" w:type="dxa"/>
            <w:bottom w:w="0" w:type="dxa"/>
            <w:right w:w="10" w:type="dxa"/>
          </w:tblCellMar>
        </w:tblPrEx>
        <w:trPr>
          <w:trHeight w:val="754" w:hRule="atLeast"/>
          <w:jc w:val="center"/>
        </w:trPr>
        <w:tc>
          <w:tcPr>
            <w:tcW w:w="9279" w:type="dxa"/>
            <w:gridSpan w:val="3"/>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其他补充事项：</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除本</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另有规定外，</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中出现的类似于“近三年”或“前三年”、“近五年”或“前五年”均指递交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时间以前3年或前5年，以此类推。如:递交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时间为20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月1日，则“近三年”是指20</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月1日至20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2)关于提交财务审计报告的年份要求:递交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时间如在当年6月30日以前，则近三年指上，上个年度往前推算的三年，如递交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时间为20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年3月1日，则“近三年”是指20</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年度、201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年度、201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年度。递交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时间如在当年6月30日以后，则近三年是指上个年度往前推算的3年，如递交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时间为20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年7月1日，则“近三年”是指201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年度、201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年度、201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年度。</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所称的“以上”、“以下”、“内”、“以内”，包括本数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所称的“不足"</w:t>
            </w:r>
            <w:r>
              <w:rPr>
                <w:rFonts w:hint="eastAsia" w:ascii="宋体" w:hAnsi="宋体" w:cs="宋体"/>
                <w:color w:val="auto"/>
                <w:sz w:val="24"/>
                <w:szCs w:val="24"/>
                <w:highlight w:val="none"/>
                <w:lang w:eastAsia="zh-CN"/>
              </w:rPr>
              <w:t>不包括</w:t>
            </w:r>
            <w:r>
              <w:rPr>
                <w:rFonts w:hint="eastAsia" w:ascii="宋体" w:hAnsi="宋体" w:eastAsia="宋体" w:cs="宋体"/>
                <w:color w:val="auto"/>
                <w:sz w:val="24"/>
                <w:szCs w:val="24"/>
                <w:highlight w:val="none"/>
              </w:rPr>
              <w:t>本数。</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须知前附表中，“</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”代表选中，“</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”代表未选中。</w:t>
            </w:r>
          </w:p>
        </w:tc>
      </w:tr>
    </w:tbl>
    <w:p>
      <w:pPr>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br w:type="page"/>
      </w:r>
    </w:p>
    <w:p>
      <w:pPr>
        <w:spacing w:line="400" w:lineRule="exact"/>
        <w:jc w:val="left"/>
        <w:rPr>
          <w:rFonts w:ascii="宋体" w:cs="Times New Roman"/>
          <w:b/>
          <w:bCs/>
          <w:color w:val="auto"/>
          <w:kern w:val="0"/>
          <w:sz w:val="24"/>
          <w:szCs w:val="24"/>
          <w:highlight w:val="none"/>
          <w:lang w:val="zh-CN"/>
        </w:rPr>
      </w:pPr>
      <w:r>
        <w:rPr>
          <w:rFonts w:hint="eastAsia" w:ascii="宋体" w:hAnsi="宋体" w:cs="宋体"/>
          <w:b/>
          <w:bCs/>
          <w:color w:val="auto"/>
          <w:kern w:val="0"/>
          <w:sz w:val="24"/>
          <w:szCs w:val="24"/>
          <w:highlight w:val="none"/>
          <w:lang w:val="zh-CN"/>
        </w:rPr>
        <w:t>二、磋商须知</w:t>
      </w:r>
      <w:bookmarkEnd w:id="24"/>
    </w:p>
    <w:p>
      <w:pPr>
        <w:tabs>
          <w:tab w:val="left" w:pos="540"/>
        </w:tabs>
        <w:spacing w:line="400" w:lineRule="exact"/>
        <w:outlineLvl w:val="1"/>
        <w:rPr>
          <w:rFonts w:ascii="宋体" w:cs="Times New Roman"/>
          <w:b/>
          <w:bCs/>
          <w:color w:val="auto"/>
          <w:sz w:val="24"/>
          <w:szCs w:val="24"/>
          <w:highlight w:val="none"/>
        </w:rPr>
      </w:pPr>
      <w:bookmarkStart w:id="25" w:name="_Toc23292"/>
      <w:bookmarkStart w:id="26" w:name="_Toc446599875"/>
      <w:bookmarkStart w:id="27" w:name="_Toc447024816"/>
      <w:bookmarkStart w:id="28" w:name="_Toc17539"/>
      <w:bookmarkStart w:id="29" w:name="_Toc26629"/>
      <w:r>
        <w:rPr>
          <w:rFonts w:hint="eastAsia" w:ascii="宋体" w:hAnsi="宋体" w:cs="宋体"/>
          <w:b/>
          <w:bCs/>
          <w:color w:val="auto"/>
          <w:sz w:val="24"/>
          <w:szCs w:val="24"/>
          <w:highlight w:val="none"/>
        </w:rPr>
        <w:t>一、总则</w:t>
      </w:r>
      <w:bookmarkEnd w:id="25"/>
      <w:bookmarkEnd w:id="26"/>
      <w:bookmarkEnd w:id="27"/>
      <w:bookmarkEnd w:id="28"/>
      <w:bookmarkEnd w:id="29"/>
    </w:p>
    <w:p>
      <w:pPr>
        <w:spacing w:line="400" w:lineRule="exact"/>
        <w:outlineLvl w:val="1"/>
        <w:rPr>
          <w:rFonts w:ascii="宋体" w:cs="Times New Roman"/>
          <w:b/>
          <w:bCs/>
          <w:color w:val="auto"/>
          <w:sz w:val="24"/>
          <w:szCs w:val="24"/>
          <w:highlight w:val="none"/>
        </w:rPr>
      </w:pPr>
      <w:bookmarkStart w:id="30" w:name="_Toc9698"/>
      <w:bookmarkStart w:id="31" w:name="_Toc21799"/>
      <w:bookmarkStart w:id="32" w:name="_Toc31235"/>
      <w:bookmarkStart w:id="33" w:name="_Toc25068"/>
      <w:bookmarkStart w:id="34" w:name="_Toc446599876"/>
      <w:bookmarkStart w:id="35" w:name="_Toc9929"/>
      <w:bookmarkStart w:id="36" w:name="_Toc447024817"/>
      <w:bookmarkStart w:id="37" w:name="_Toc5532"/>
      <w:bookmarkStart w:id="38" w:name="_Toc9858"/>
      <w:r>
        <w:rPr>
          <w:rFonts w:hint="eastAsia" w:ascii="宋体" w:hAnsi="宋体" w:cs="宋体"/>
          <w:b/>
          <w:bCs/>
          <w:color w:val="auto"/>
          <w:sz w:val="24"/>
          <w:szCs w:val="24"/>
          <w:highlight w:val="none"/>
        </w:rPr>
        <w:t>1、适用法律及范围</w:t>
      </w:r>
      <w:bookmarkEnd w:id="30"/>
      <w:bookmarkEnd w:id="31"/>
      <w:bookmarkEnd w:id="32"/>
      <w:bookmarkEnd w:id="33"/>
      <w:bookmarkEnd w:id="34"/>
      <w:bookmarkEnd w:id="35"/>
      <w:bookmarkEnd w:id="36"/>
      <w:bookmarkEnd w:id="37"/>
      <w:bookmarkEnd w:id="38"/>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1.1本竞争性磋商采购文件仅适用于本次竞争性磋商中所述的项目的采购。</w:t>
      </w:r>
    </w:p>
    <w:p>
      <w:pPr>
        <w:spacing w:line="400" w:lineRule="exact"/>
        <w:outlineLvl w:val="1"/>
        <w:rPr>
          <w:rFonts w:ascii="宋体" w:cs="Times New Roman"/>
          <w:b/>
          <w:bCs/>
          <w:color w:val="auto"/>
          <w:sz w:val="24"/>
          <w:szCs w:val="24"/>
          <w:highlight w:val="none"/>
        </w:rPr>
      </w:pPr>
      <w:bookmarkStart w:id="39" w:name="_Toc28"/>
      <w:bookmarkStart w:id="40" w:name="_Toc14040"/>
      <w:bookmarkStart w:id="41" w:name="_Toc447024818"/>
      <w:bookmarkStart w:id="42" w:name="_Toc7174"/>
      <w:bookmarkStart w:id="43" w:name="_Toc8386"/>
      <w:bookmarkStart w:id="44" w:name="_Toc835"/>
      <w:bookmarkStart w:id="45" w:name="_Toc18669"/>
      <w:bookmarkStart w:id="46" w:name="_Toc21089"/>
      <w:bookmarkStart w:id="47" w:name="_Toc446599878"/>
      <w:r>
        <w:rPr>
          <w:rFonts w:hint="eastAsia" w:ascii="宋体" w:hAnsi="宋体" w:cs="宋体"/>
          <w:b/>
          <w:bCs/>
          <w:color w:val="auto"/>
          <w:sz w:val="24"/>
          <w:szCs w:val="24"/>
          <w:highlight w:val="none"/>
        </w:rPr>
        <w:t>2、定义</w:t>
      </w:r>
      <w:bookmarkEnd w:id="39"/>
      <w:bookmarkEnd w:id="40"/>
      <w:bookmarkEnd w:id="41"/>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2.1“采购人”是指</w:t>
      </w:r>
      <w:r>
        <w:rPr>
          <w:rFonts w:ascii="宋体" w:hAnsi="宋体" w:cs="宋体"/>
          <w:color w:val="auto"/>
          <w:kern w:val="0"/>
          <w:sz w:val="24"/>
          <w:szCs w:val="24"/>
          <w:highlight w:val="none"/>
        </w:rPr>
        <w:t>:</w:t>
      </w:r>
      <w:r>
        <w:rPr>
          <w:rFonts w:hint="eastAsia" w:ascii="宋体" w:hAnsi="宋体" w:cs="宋体"/>
          <w:color w:val="auto"/>
          <w:sz w:val="24"/>
          <w:szCs w:val="24"/>
          <w:highlight w:val="none"/>
          <w:u w:val="single"/>
          <w:lang w:eastAsia="zh-CN"/>
        </w:rPr>
        <w:t>孝感创聚能源有限公司</w:t>
      </w:r>
      <w:r>
        <w:rPr>
          <w:rFonts w:hint="eastAsia" w:ascii="宋体" w:hAnsi="宋体" w:cs="宋体"/>
          <w:color w:val="auto"/>
          <w:kern w:val="0"/>
          <w:sz w:val="24"/>
          <w:szCs w:val="24"/>
          <w:highlight w:val="none"/>
        </w:rPr>
        <w:t>。</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2.2“监管部门”是指</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eastAsia="zh-CN"/>
        </w:rPr>
        <w:t>孝感高新技术产业开发区纪检部门</w:t>
      </w:r>
      <w:r>
        <w:rPr>
          <w:rFonts w:hint="eastAsia" w:ascii="宋体" w:hAnsi="宋体" w:cs="宋体"/>
          <w:color w:val="auto"/>
          <w:kern w:val="0"/>
          <w:sz w:val="24"/>
          <w:szCs w:val="24"/>
          <w:highlight w:val="none"/>
        </w:rPr>
        <w:t>。</w:t>
      </w:r>
    </w:p>
    <w:p>
      <w:pPr>
        <w:autoSpaceDE w:val="0"/>
        <w:autoSpaceDN w:val="0"/>
        <w:spacing w:line="400" w:lineRule="exact"/>
        <w:jc w:val="left"/>
        <w:rPr>
          <w:rFonts w:ascii="宋体" w:cs="Times New Roman"/>
          <w:color w:val="auto"/>
          <w:kern w:val="0"/>
          <w:sz w:val="24"/>
          <w:szCs w:val="24"/>
          <w:highlight w:val="none"/>
          <w:u w:val="single"/>
        </w:rPr>
      </w:pPr>
      <w:r>
        <w:rPr>
          <w:rFonts w:hint="eastAsia" w:ascii="宋体" w:hAnsi="宋体" w:cs="宋体"/>
          <w:color w:val="auto"/>
          <w:kern w:val="0"/>
          <w:sz w:val="24"/>
          <w:szCs w:val="24"/>
          <w:highlight w:val="none"/>
        </w:rPr>
        <w:t>2.3“政府采购代理机构”是指</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zh-CN"/>
        </w:rPr>
        <w:t>惠通建管科技有限公司</w:t>
      </w:r>
      <w:r>
        <w:rPr>
          <w:rFonts w:hint="eastAsia" w:ascii="宋体" w:hAnsi="宋体" w:cs="宋体"/>
          <w:color w:val="auto"/>
          <w:kern w:val="0"/>
          <w:sz w:val="24"/>
          <w:szCs w:val="24"/>
          <w:highlight w:val="none"/>
        </w:rPr>
        <w:t>。</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2.4合格的供应商</w:t>
      </w:r>
    </w:p>
    <w:p>
      <w:pPr>
        <w:autoSpaceDE w:val="0"/>
        <w:autoSpaceDN w:val="0"/>
        <w:spacing w:line="400" w:lineRule="exact"/>
        <w:jc w:val="left"/>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）符合《政府采购法》第二十二条规定的供应商。</w:t>
      </w:r>
    </w:p>
    <w:p>
      <w:pPr>
        <w:autoSpaceDE w:val="0"/>
        <w:autoSpaceDN w:val="0"/>
        <w:spacing w:line="400" w:lineRule="exact"/>
        <w:jc w:val="left"/>
        <w:rPr>
          <w:rFonts w:ascii="宋体" w:cs="Times New Roman"/>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）符合本《竞争性磋商采购文件》第一章第</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款要求。</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2.5“成交供应商”是指经磋商小组评审，采购人确认，授予合同的供应商。</w:t>
      </w:r>
    </w:p>
    <w:p>
      <w:pPr>
        <w:spacing w:line="400" w:lineRule="exact"/>
        <w:outlineLvl w:val="1"/>
        <w:rPr>
          <w:rFonts w:ascii="宋体" w:cs="Times New Roman"/>
          <w:b/>
          <w:bCs/>
          <w:color w:val="auto"/>
          <w:sz w:val="24"/>
          <w:szCs w:val="24"/>
          <w:highlight w:val="none"/>
        </w:rPr>
      </w:pPr>
      <w:bookmarkStart w:id="48" w:name="_Toc447024819"/>
      <w:bookmarkStart w:id="49" w:name="_Toc11415"/>
      <w:bookmarkStart w:id="50" w:name="_Toc10504"/>
      <w:r>
        <w:rPr>
          <w:rFonts w:hint="eastAsia" w:ascii="宋体" w:hAnsi="宋体" w:cs="宋体"/>
          <w:b/>
          <w:bCs/>
          <w:snapToGrid w:val="0"/>
          <w:color w:val="auto"/>
          <w:kern w:val="0"/>
          <w:sz w:val="24"/>
          <w:szCs w:val="24"/>
          <w:highlight w:val="none"/>
        </w:rPr>
        <w:t>3、</w:t>
      </w:r>
      <w:r>
        <w:rPr>
          <w:rFonts w:hint="eastAsia" w:ascii="宋体" w:hAnsi="宋体" w:cs="宋体"/>
          <w:b/>
          <w:bCs/>
          <w:snapToGrid w:val="0"/>
          <w:color w:val="auto"/>
          <w:kern w:val="0"/>
          <w:sz w:val="24"/>
          <w:szCs w:val="24"/>
          <w:highlight w:val="none"/>
          <w:lang w:val="zh-CN"/>
        </w:rPr>
        <w:t>工程、货物及服务</w:t>
      </w:r>
      <w:bookmarkEnd w:id="42"/>
      <w:bookmarkEnd w:id="43"/>
      <w:bookmarkEnd w:id="44"/>
      <w:bookmarkEnd w:id="45"/>
      <w:bookmarkEnd w:id="46"/>
      <w:bookmarkEnd w:id="47"/>
      <w:bookmarkEnd w:id="48"/>
      <w:bookmarkEnd w:id="49"/>
      <w:bookmarkEnd w:id="50"/>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3.1</w:t>
      </w:r>
      <w:r>
        <w:rPr>
          <w:rFonts w:hint="eastAsia" w:ascii="宋体" w:hAnsi="宋体" w:cs="宋体"/>
          <w:snapToGrid w:val="0"/>
          <w:color w:val="auto"/>
          <w:kern w:val="0"/>
          <w:sz w:val="24"/>
          <w:szCs w:val="24"/>
          <w:highlight w:val="none"/>
          <w:lang w:val="zh-CN"/>
        </w:rPr>
        <w:t>“工程”是指建设工程，包括建筑物和构筑物的新建、改建、扩建及其相关的装修、拆除、修缮等。</w:t>
      </w:r>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3.2</w:t>
      </w:r>
      <w:r>
        <w:rPr>
          <w:rFonts w:hint="eastAsia" w:ascii="宋体" w:hAnsi="宋体" w:cs="宋体"/>
          <w:snapToGrid w:val="0"/>
          <w:color w:val="auto"/>
          <w:kern w:val="0"/>
          <w:sz w:val="24"/>
          <w:szCs w:val="24"/>
          <w:highlight w:val="none"/>
          <w:lang w:val="zh-CN"/>
        </w:rPr>
        <w:t>“货物”是指各种形态和种类的物品，包括原材料、燃料、设备、产品等。</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3.3</w:t>
      </w:r>
      <w:r>
        <w:rPr>
          <w:rFonts w:hint="eastAsia" w:ascii="宋体" w:hAnsi="宋体" w:cs="宋体"/>
          <w:snapToGrid w:val="0"/>
          <w:color w:val="auto"/>
          <w:kern w:val="0"/>
          <w:sz w:val="24"/>
          <w:szCs w:val="24"/>
          <w:highlight w:val="none"/>
          <w:lang w:val="zh-CN"/>
        </w:rPr>
        <w:t>“服务”是指是指除货物和工程以外的其他政府采购对象。</w:t>
      </w:r>
    </w:p>
    <w:p>
      <w:pPr>
        <w:spacing w:line="400" w:lineRule="exact"/>
        <w:outlineLvl w:val="1"/>
        <w:rPr>
          <w:rFonts w:ascii="宋体" w:cs="Times New Roman"/>
          <w:b/>
          <w:bCs/>
          <w:color w:val="auto"/>
          <w:sz w:val="24"/>
          <w:szCs w:val="24"/>
          <w:highlight w:val="none"/>
        </w:rPr>
      </w:pPr>
      <w:bookmarkStart w:id="51" w:name="_Toc446599879"/>
      <w:bookmarkStart w:id="52" w:name="_Toc85"/>
      <w:bookmarkStart w:id="53" w:name="_Toc4894"/>
      <w:bookmarkStart w:id="54" w:name="_Toc26682"/>
      <w:bookmarkStart w:id="55" w:name="_Toc25127"/>
      <w:bookmarkStart w:id="56" w:name="_Toc32196"/>
      <w:bookmarkStart w:id="57" w:name="_Toc447024820"/>
      <w:bookmarkStart w:id="58" w:name="_Toc5390"/>
      <w:bookmarkStart w:id="59" w:name="_Toc13847"/>
      <w:r>
        <w:rPr>
          <w:rFonts w:hint="eastAsia" w:ascii="宋体" w:hAnsi="宋体" w:cs="宋体"/>
          <w:b/>
          <w:bCs/>
          <w:color w:val="auto"/>
          <w:sz w:val="24"/>
          <w:szCs w:val="24"/>
          <w:highlight w:val="none"/>
        </w:rPr>
        <w:t>4、费用</w:t>
      </w:r>
      <w:bookmarkEnd w:id="51"/>
      <w:bookmarkEnd w:id="52"/>
      <w:bookmarkEnd w:id="53"/>
      <w:bookmarkEnd w:id="54"/>
      <w:bookmarkEnd w:id="55"/>
      <w:bookmarkEnd w:id="56"/>
      <w:bookmarkEnd w:id="57"/>
      <w:bookmarkEnd w:id="58"/>
      <w:bookmarkEnd w:id="59"/>
    </w:p>
    <w:p>
      <w:pPr>
        <w:tabs>
          <w:tab w:val="left" w:pos="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4.1供应商应承担所有与准备和参加磋商有关的费用，不论磋商的结果如何，采购人和采购代理机构均无义务和责任承担这些费用。</w:t>
      </w:r>
    </w:p>
    <w:p>
      <w:pPr>
        <w:tabs>
          <w:tab w:val="left" w:pos="0"/>
        </w:tabs>
        <w:spacing w:line="400" w:lineRule="exact"/>
        <w:rPr>
          <w:rFonts w:ascii="宋体" w:cs="Times New Roman"/>
          <w:color w:val="auto"/>
          <w:sz w:val="24"/>
          <w:szCs w:val="24"/>
          <w:highlight w:val="none"/>
        </w:rPr>
      </w:pPr>
      <w:r>
        <w:rPr>
          <w:rFonts w:hint="eastAsia" w:ascii="宋体" w:hAnsi="宋体" w:cs="宋体"/>
          <w:snapToGrid w:val="0"/>
          <w:color w:val="auto"/>
          <w:kern w:val="0"/>
          <w:sz w:val="24"/>
          <w:szCs w:val="24"/>
          <w:highlight w:val="none"/>
        </w:rPr>
        <w:t>4.2</w:t>
      </w:r>
      <w:r>
        <w:rPr>
          <w:rFonts w:hint="eastAsia" w:ascii="宋体" w:hAnsi="宋体" w:cs="宋体"/>
          <w:snapToGrid w:val="0"/>
          <w:color w:val="auto"/>
          <w:kern w:val="0"/>
          <w:sz w:val="24"/>
          <w:szCs w:val="24"/>
          <w:highlight w:val="none"/>
          <w:lang w:val="zh-CN"/>
        </w:rPr>
        <w:t>招标代理服务费：成交供应商在收到成交通知书时向采购代理机构支付招标代理服务费，支付标准和方法详见《供应商须知前附表》。</w:t>
      </w:r>
    </w:p>
    <w:p>
      <w:pPr>
        <w:tabs>
          <w:tab w:val="left" w:pos="540"/>
        </w:tabs>
        <w:spacing w:line="400" w:lineRule="exact"/>
        <w:outlineLvl w:val="1"/>
        <w:rPr>
          <w:rFonts w:ascii="宋体" w:cs="Times New Roman"/>
          <w:b/>
          <w:bCs/>
          <w:color w:val="auto"/>
          <w:sz w:val="24"/>
          <w:szCs w:val="24"/>
          <w:highlight w:val="none"/>
        </w:rPr>
      </w:pPr>
      <w:bookmarkStart w:id="60" w:name="_Toc446599880"/>
      <w:bookmarkStart w:id="61" w:name="_Toc19503"/>
      <w:bookmarkStart w:id="62" w:name="_Toc854"/>
      <w:bookmarkStart w:id="63" w:name="_Toc11338"/>
      <w:bookmarkStart w:id="64" w:name="_Toc447024821"/>
      <w:r>
        <w:rPr>
          <w:rFonts w:hint="eastAsia" w:ascii="宋体" w:hAnsi="宋体" w:cs="宋体"/>
          <w:b/>
          <w:bCs/>
          <w:color w:val="auto"/>
          <w:sz w:val="24"/>
          <w:szCs w:val="24"/>
          <w:highlight w:val="none"/>
        </w:rPr>
        <w:t>二、竞争性磋商采购文件</w:t>
      </w:r>
      <w:bookmarkEnd w:id="60"/>
      <w:bookmarkEnd w:id="61"/>
      <w:bookmarkEnd w:id="62"/>
      <w:bookmarkEnd w:id="63"/>
      <w:bookmarkEnd w:id="64"/>
    </w:p>
    <w:p>
      <w:pPr>
        <w:spacing w:line="400" w:lineRule="exact"/>
        <w:outlineLvl w:val="1"/>
        <w:rPr>
          <w:rFonts w:ascii="宋体" w:cs="Times New Roman"/>
          <w:b/>
          <w:bCs/>
          <w:color w:val="auto"/>
          <w:sz w:val="24"/>
          <w:szCs w:val="24"/>
          <w:highlight w:val="none"/>
        </w:rPr>
      </w:pPr>
      <w:bookmarkStart w:id="65" w:name="_Toc8965"/>
      <w:bookmarkStart w:id="66" w:name="_Toc447024822"/>
      <w:bookmarkStart w:id="67" w:name="_Toc446599881"/>
      <w:bookmarkStart w:id="68" w:name="_Toc12941"/>
      <w:bookmarkStart w:id="69" w:name="_Toc11090"/>
      <w:bookmarkStart w:id="70" w:name="_Toc27794"/>
      <w:bookmarkStart w:id="71" w:name="_Toc5599"/>
      <w:bookmarkStart w:id="72" w:name="_Toc20534"/>
      <w:bookmarkStart w:id="73" w:name="_Toc11359"/>
      <w:r>
        <w:rPr>
          <w:rFonts w:hint="eastAsia" w:ascii="宋体" w:hAnsi="宋体" w:cs="宋体"/>
          <w:b/>
          <w:bCs/>
          <w:color w:val="auto"/>
          <w:sz w:val="24"/>
          <w:szCs w:val="24"/>
          <w:highlight w:val="none"/>
        </w:rPr>
        <w:t>5、竞争性磋商采购文件的构成</w:t>
      </w:r>
      <w:bookmarkEnd w:id="65"/>
      <w:bookmarkEnd w:id="66"/>
      <w:bookmarkEnd w:id="67"/>
      <w:bookmarkEnd w:id="68"/>
      <w:bookmarkEnd w:id="69"/>
      <w:bookmarkEnd w:id="70"/>
      <w:bookmarkEnd w:id="71"/>
      <w:bookmarkEnd w:id="72"/>
      <w:bookmarkEnd w:id="73"/>
    </w:p>
    <w:p>
      <w:pPr>
        <w:tabs>
          <w:tab w:val="left" w:pos="540"/>
        </w:tabs>
        <w:spacing w:line="400" w:lineRule="exact"/>
        <w:rPr>
          <w:rFonts w:ascii="宋体" w:cs="Times New Roman"/>
          <w:color w:val="auto"/>
          <w:sz w:val="24"/>
          <w:szCs w:val="24"/>
          <w:highlight w:val="none"/>
        </w:rPr>
      </w:pPr>
      <w:r>
        <w:rPr>
          <w:rFonts w:hint="eastAsia" w:ascii="宋体" w:hAnsi="宋体" w:cs="宋体"/>
          <w:snapToGrid w:val="0"/>
          <w:color w:val="auto"/>
          <w:kern w:val="0"/>
          <w:sz w:val="24"/>
          <w:szCs w:val="24"/>
          <w:highlight w:val="none"/>
        </w:rPr>
        <w:t>5.1</w:t>
      </w:r>
      <w:r>
        <w:rPr>
          <w:rFonts w:hint="eastAsia" w:ascii="宋体" w:hAnsi="宋体" w:cs="宋体"/>
          <w:snapToGrid w:val="0"/>
          <w:color w:val="auto"/>
          <w:kern w:val="0"/>
          <w:sz w:val="24"/>
          <w:szCs w:val="24"/>
          <w:highlight w:val="none"/>
          <w:lang w:val="zh-CN"/>
        </w:rPr>
        <w:t>本竞争性磋商采购文件包括：</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1）磋商邀请函</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2）磋商须知</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3）采购需求</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4）竞争性磋商采购评定办法</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5）合同书格式（仅供参考）</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6）竞争性磋商响应文件格式（仅供参考）</w:t>
      </w:r>
    </w:p>
    <w:p>
      <w:pPr>
        <w:tabs>
          <w:tab w:val="left" w:pos="540"/>
        </w:tabs>
        <w:spacing w:line="400" w:lineRule="exact"/>
        <w:rPr>
          <w:rFonts w:ascii="宋体" w:cs="Times New Roman"/>
          <w:color w:val="auto"/>
          <w:sz w:val="24"/>
          <w:szCs w:val="24"/>
          <w:highlight w:val="none"/>
        </w:rPr>
      </w:pPr>
      <w:r>
        <w:rPr>
          <w:rFonts w:hint="eastAsia" w:ascii="宋体" w:hAnsi="宋体" w:cs="宋体"/>
          <w:snapToGrid w:val="0"/>
          <w:color w:val="auto"/>
          <w:kern w:val="0"/>
          <w:sz w:val="24"/>
          <w:szCs w:val="24"/>
          <w:highlight w:val="none"/>
        </w:rPr>
        <w:t>7）</w:t>
      </w:r>
      <w:r>
        <w:rPr>
          <w:rFonts w:hint="eastAsia" w:ascii="宋体" w:hAnsi="宋体" w:cs="宋体"/>
          <w:snapToGrid w:val="0"/>
          <w:color w:val="auto"/>
          <w:kern w:val="0"/>
          <w:sz w:val="24"/>
          <w:szCs w:val="24"/>
          <w:highlight w:val="none"/>
          <w:lang w:val="zh-CN"/>
        </w:rPr>
        <w:t>采购过程中由采购代理机构发出的澄清和修正文件</w:t>
      </w:r>
    </w:p>
    <w:p>
      <w:pPr>
        <w:tabs>
          <w:tab w:val="left" w:pos="540"/>
        </w:tabs>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8）评审委员会在磋商过程中发出的对本磋商文件的实质性变动</w:t>
      </w:r>
    </w:p>
    <w:p>
      <w:pPr>
        <w:spacing w:line="400" w:lineRule="exact"/>
        <w:outlineLvl w:val="1"/>
        <w:rPr>
          <w:rFonts w:ascii="宋体" w:cs="Times New Roman"/>
          <w:b/>
          <w:bCs/>
          <w:snapToGrid w:val="0"/>
          <w:color w:val="auto"/>
          <w:kern w:val="0"/>
          <w:sz w:val="24"/>
          <w:szCs w:val="24"/>
          <w:highlight w:val="none"/>
          <w:lang w:val="zh-CN"/>
        </w:rPr>
      </w:pPr>
      <w:bookmarkStart w:id="74" w:name="_Toc21891"/>
      <w:bookmarkStart w:id="75" w:name="_Toc4846"/>
      <w:bookmarkStart w:id="76" w:name="_Toc13871"/>
      <w:bookmarkStart w:id="77" w:name="_Toc447024823"/>
      <w:bookmarkStart w:id="78" w:name="_Toc9303"/>
      <w:bookmarkStart w:id="79" w:name="_Toc7789"/>
      <w:bookmarkStart w:id="80" w:name="_Toc446599882"/>
      <w:bookmarkStart w:id="81" w:name="_Toc13694"/>
      <w:bookmarkStart w:id="82" w:name="_Toc15260"/>
      <w:r>
        <w:rPr>
          <w:rFonts w:hint="eastAsia" w:ascii="宋体" w:hAnsi="宋体" w:cs="宋体"/>
          <w:b/>
          <w:bCs/>
          <w:snapToGrid w:val="0"/>
          <w:color w:val="auto"/>
          <w:kern w:val="0"/>
          <w:sz w:val="24"/>
          <w:szCs w:val="24"/>
          <w:highlight w:val="none"/>
        </w:rPr>
        <w:t>6、</w:t>
      </w:r>
      <w:r>
        <w:rPr>
          <w:rFonts w:hint="eastAsia" w:ascii="宋体" w:hAnsi="宋体" w:cs="宋体"/>
          <w:b/>
          <w:bCs/>
          <w:snapToGrid w:val="0"/>
          <w:color w:val="auto"/>
          <w:kern w:val="0"/>
          <w:sz w:val="24"/>
          <w:szCs w:val="24"/>
          <w:highlight w:val="none"/>
          <w:lang w:val="zh-CN"/>
        </w:rPr>
        <w:t>竞争性磋商采购文件的澄清</w:t>
      </w:r>
      <w:bookmarkEnd w:id="74"/>
      <w:bookmarkEnd w:id="75"/>
      <w:bookmarkEnd w:id="76"/>
      <w:bookmarkEnd w:id="77"/>
      <w:bookmarkEnd w:id="78"/>
      <w:bookmarkEnd w:id="79"/>
      <w:bookmarkEnd w:id="80"/>
      <w:bookmarkEnd w:id="81"/>
      <w:bookmarkEnd w:id="82"/>
    </w:p>
    <w:p>
      <w:pPr>
        <w:autoSpaceDE w:val="0"/>
        <w:autoSpaceDN w:val="0"/>
        <w:spacing w:line="400" w:lineRule="exact"/>
        <w:jc w:val="left"/>
        <w:rPr>
          <w:rFonts w:ascii="宋体" w:cs="Times New Roman"/>
          <w:color w:val="auto"/>
          <w:kern w:val="0"/>
          <w:sz w:val="24"/>
          <w:szCs w:val="24"/>
          <w:highlight w:val="none"/>
        </w:rPr>
      </w:pPr>
      <w:bookmarkStart w:id="83" w:name="_Toc15537"/>
      <w:bookmarkStart w:id="84" w:name="_Toc10204"/>
      <w:bookmarkStart w:id="85" w:name="_Toc12398"/>
      <w:bookmarkStart w:id="86" w:name="_Toc15576"/>
      <w:bookmarkStart w:id="87" w:name="_Toc446599883"/>
      <w:bookmarkStart w:id="88" w:name="_Toc21791"/>
      <w:r>
        <w:rPr>
          <w:rFonts w:hint="eastAsia" w:ascii="宋体" w:hAnsi="宋体" w:cs="宋体"/>
          <w:color w:val="auto"/>
          <w:kern w:val="0"/>
          <w:sz w:val="24"/>
          <w:szCs w:val="24"/>
          <w:highlight w:val="none"/>
        </w:rPr>
        <w:t>6.1任何要求对磋商文件进行澄清的供应商，均应以书面形式（书面原件、由供应商法定代表人签字并加盖供应商公章）在磋商时间</w:t>
      </w:r>
      <w:r>
        <w:rPr>
          <w:rFonts w:ascii="宋体" w:hAnsi="宋体" w:cs="宋体"/>
          <w:b/>
          <w:bCs/>
          <w:color w:val="auto"/>
          <w:kern w:val="0"/>
          <w:sz w:val="24"/>
          <w:szCs w:val="24"/>
          <w:highlight w:val="none"/>
        </w:rPr>
        <w:t>5</w:t>
      </w:r>
      <w:r>
        <w:rPr>
          <w:rFonts w:hint="eastAsia" w:ascii="宋体" w:hAnsi="宋体" w:cs="宋体"/>
          <w:b/>
          <w:bCs/>
          <w:color w:val="auto"/>
          <w:kern w:val="0"/>
          <w:sz w:val="24"/>
          <w:szCs w:val="24"/>
          <w:highlight w:val="none"/>
        </w:rPr>
        <w:t>日</w:t>
      </w:r>
      <w:r>
        <w:rPr>
          <w:rFonts w:hint="eastAsia" w:ascii="宋体" w:hAnsi="宋体" w:cs="宋体"/>
          <w:color w:val="auto"/>
          <w:kern w:val="0"/>
          <w:sz w:val="24"/>
          <w:szCs w:val="24"/>
          <w:highlight w:val="none"/>
        </w:rPr>
        <w:t>前用邮寄或专人递交的方式交给采购代理机构。采购代理机构对供应商所要求澄清的内容均以书面形式或网上公告予以答复。必要时，采购代理机构将组织相关专家召开答疑会，并将会议内容以书面的形式发给每个购买磋商文件的潜在供应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答复中不包括问题的来源</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6.2供应商在规定的时间内未要求对磋商文件进行澄清的，采购代理机构将视其为同意。</w:t>
      </w:r>
    </w:p>
    <w:p>
      <w:pPr>
        <w:spacing w:line="400" w:lineRule="exact"/>
        <w:outlineLvl w:val="1"/>
        <w:rPr>
          <w:rFonts w:ascii="宋体" w:cs="Times New Roman"/>
          <w:b/>
          <w:bCs/>
          <w:snapToGrid w:val="0"/>
          <w:color w:val="auto"/>
          <w:kern w:val="0"/>
          <w:sz w:val="24"/>
          <w:szCs w:val="24"/>
          <w:highlight w:val="none"/>
          <w:lang w:val="zh-CN"/>
        </w:rPr>
      </w:pPr>
      <w:bookmarkStart w:id="89" w:name="_Toc28393"/>
      <w:bookmarkStart w:id="90" w:name="_Toc11690"/>
      <w:bookmarkStart w:id="91" w:name="_Toc447024824"/>
      <w:r>
        <w:rPr>
          <w:rFonts w:hint="eastAsia" w:ascii="宋体" w:hAnsi="宋体" w:cs="宋体"/>
          <w:b/>
          <w:bCs/>
          <w:snapToGrid w:val="0"/>
          <w:color w:val="auto"/>
          <w:kern w:val="0"/>
          <w:sz w:val="24"/>
          <w:szCs w:val="24"/>
          <w:highlight w:val="none"/>
        </w:rPr>
        <w:t>7、</w:t>
      </w:r>
      <w:r>
        <w:rPr>
          <w:rFonts w:hint="eastAsia" w:ascii="宋体" w:hAnsi="宋体" w:cs="宋体"/>
          <w:b/>
          <w:bCs/>
          <w:snapToGrid w:val="0"/>
          <w:color w:val="auto"/>
          <w:kern w:val="0"/>
          <w:sz w:val="24"/>
          <w:szCs w:val="24"/>
          <w:highlight w:val="none"/>
          <w:lang w:val="zh-CN"/>
        </w:rPr>
        <w:t>竞争性磋商采购文件的修改</w:t>
      </w:r>
      <w:bookmarkEnd w:id="83"/>
      <w:bookmarkEnd w:id="84"/>
      <w:bookmarkEnd w:id="85"/>
      <w:bookmarkEnd w:id="86"/>
      <w:bookmarkEnd w:id="87"/>
      <w:bookmarkEnd w:id="88"/>
      <w:bookmarkEnd w:id="89"/>
      <w:bookmarkEnd w:id="90"/>
      <w:bookmarkEnd w:id="91"/>
    </w:p>
    <w:p>
      <w:pPr>
        <w:autoSpaceDE w:val="0"/>
        <w:autoSpaceDN w:val="0"/>
        <w:spacing w:line="400" w:lineRule="exact"/>
        <w:jc w:val="left"/>
        <w:rPr>
          <w:rFonts w:ascii="宋体" w:cs="Times New Roman"/>
          <w:color w:val="auto"/>
          <w:kern w:val="0"/>
          <w:sz w:val="24"/>
          <w:szCs w:val="24"/>
          <w:highlight w:val="none"/>
        </w:rPr>
      </w:pPr>
      <w:bookmarkStart w:id="92" w:name="_Toc14180"/>
      <w:bookmarkStart w:id="93" w:name="_Toc446599884"/>
      <w:r>
        <w:rPr>
          <w:rFonts w:hint="eastAsia" w:ascii="宋体" w:hAnsi="宋体" w:cs="宋体"/>
          <w:color w:val="auto"/>
          <w:kern w:val="0"/>
          <w:sz w:val="24"/>
          <w:szCs w:val="24"/>
          <w:highlight w:val="none"/>
        </w:rPr>
        <w:t>7.1在提交首次响应文件截止时间</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日前，无论出于何种原因，采购代理机构或采购人可主动地或在解答供应商提出的疑问时对磋商文件进行修改。</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7.2修改后的内容是磋商文件的组成部分，将以书面形式通知所有购买磋商文件的供应商，并对供应商具有约束力。供应商在收到上述通知后，应立即以书面形式向采购代理机构确认。</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7.3为使供应商准备磋商时有充足时间对磋商文件的修改部分迸行研究，采购代理机构或采购人可适当推迟磋商时间，并书面通知所有购买磋商文件的供应商。</w:t>
      </w:r>
    </w:p>
    <w:p>
      <w:pPr>
        <w:tabs>
          <w:tab w:val="left" w:pos="540"/>
        </w:tabs>
        <w:spacing w:line="400" w:lineRule="exact"/>
        <w:outlineLvl w:val="1"/>
        <w:rPr>
          <w:rFonts w:ascii="宋体" w:cs="Times New Roman"/>
          <w:b/>
          <w:bCs/>
          <w:color w:val="auto"/>
          <w:sz w:val="24"/>
          <w:szCs w:val="24"/>
          <w:highlight w:val="none"/>
        </w:rPr>
      </w:pPr>
      <w:bookmarkStart w:id="94" w:name="_Toc21375"/>
      <w:bookmarkStart w:id="95" w:name="_Toc22637"/>
      <w:bookmarkStart w:id="96" w:name="_Toc447024825"/>
      <w:r>
        <w:rPr>
          <w:rFonts w:hint="eastAsia" w:ascii="宋体" w:hAnsi="宋体" w:cs="宋体"/>
          <w:b/>
          <w:bCs/>
          <w:color w:val="auto"/>
          <w:sz w:val="24"/>
          <w:szCs w:val="24"/>
          <w:highlight w:val="none"/>
        </w:rPr>
        <w:t>三、竞争性磋商响应文件</w:t>
      </w:r>
      <w:bookmarkEnd w:id="92"/>
      <w:bookmarkEnd w:id="93"/>
      <w:bookmarkEnd w:id="94"/>
      <w:bookmarkEnd w:id="95"/>
      <w:bookmarkEnd w:id="96"/>
    </w:p>
    <w:p>
      <w:pPr>
        <w:spacing w:line="400" w:lineRule="exact"/>
        <w:outlineLvl w:val="1"/>
        <w:rPr>
          <w:rFonts w:ascii="宋体" w:cs="Times New Roman"/>
          <w:snapToGrid w:val="0"/>
          <w:color w:val="auto"/>
          <w:kern w:val="0"/>
          <w:sz w:val="24"/>
          <w:szCs w:val="24"/>
          <w:highlight w:val="none"/>
          <w:lang w:val="zh-CN"/>
        </w:rPr>
      </w:pPr>
      <w:bookmarkStart w:id="97" w:name="_Toc7212"/>
      <w:bookmarkStart w:id="98" w:name="_Toc447024826"/>
      <w:bookmarkStart w:id="99" w:name="_Toc2682"/>
      <w:bookmarkStart w:id="100" w:name="_Toc19808"/>
      <w:bookmarkStart w:id="101" w:name="_Toc20143"/>
      <w:bookmarkStart w:id="102" w:name="_Toc12660"/>
      <w:bookmarkStart w:id="103" w:name="_Toc446599885"/>
      <w:bookmarkStart w:id="104" w:name="_Toc29869"/>
      <w:bookmarkStart w:id="105" w:name="_Toc14769"/>
      <w:r>
        <w:rPr>
          <w:rFonts w:hint="eastAsia" w:ascii="宋体" w:hAnsi="宋体" w:cs="宋体"/>
          <w:b/>
          <w:bCs/>
          <w:snapToGrid w:val="0"/>
          <w:color w:val="auto"/>
          <w:kern w:val="0"/>
          <w:sz w:val="24"/>
          <w:szCs w:val="24"/>
          <w:highlight w:val="none"/>
        </w:rPr>
        <w:t>8、</w:t>
      </w:r>
      <w:r>
        <w:rPr>
          <w:rFonts w:hint="eastAsia" w:ascii="宋体" w:hAnsi="宋体" w:cs="宋体"/>
          <w:b/>
          <w:bCs/>
          <w:snapToGrid w:val="0"/>
          <w:color w:val="auto"/>
          <w:kern w:val="0"/>
          <w:sz w:val="24"/>
          <w:szCs w:val="24"/>
          <w:highlight w:val="none"/>
          <w:lang w:val="zh-CN"/>
        </w:rPr>
        <w:t>语言和计量单位</w:t>
      </w:r>
      <w:bookmarkEnd w:id="97"/>
      <w:bookmarkEnd w:id="98"/>
      <w:bookmarkEnd w:id="99"/>
      <w:bookmarkEnd w:id="100"/>
      <w:bookmarkEnd w:id="101"/>
      <w:bookmarkEnd w:id="102"/>
      <w:bookmarkEnd w:id="103"/>
      <w:bookmarkEnd w:id="104"/>
      <w:bookmarkEnd w:id="105"/>
    </w:p>
    <w:p>
      <w:pPr>
        <w:tabs>
          <w:tab w:val="left" w:pos="540"/>
        </w:tabs>
        <w:spacing w:line="400" w:lineRule="exac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8.1</w:t>
      </w:r>
      <w:r>
        <w:rPr>
          <w:rFonts w:hint="eastAsia" w:ascii="宋体" w:hAnsi="宋体" w:cs="宋体"/>
          <w:snapToGrid w:val="0"/>
          <w:color w:val="auto"/>
          <w:kern w:val="0"/>
          <w:sz w:val="24"/>
          <w:szCs w:val="24"/>
          <w:highlight w:val="none"/>
          <w:lang w:val="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tabs>
          <w:tab w:val="left" w:pos="540"/>
        </w:tabs>
        <w:spacing w:line="400" w:lineRule="exact"/>
        <w:rPr>
          <w:rFonts w:ascii="宋体" w:cs="Times New Roman"/>
          <w:b/>
          <w:bCs/>
          <w:snapToGrid w:val="0"/>
          <w:color w:val="auto"/>
          <w:kern w:val="0"/>
          <w:sz w:val="24"/>
          <w:szCs w:val="24"/>
          <w:highlight w:val="none"/>
          <w:lang w:val="zh-CN"/>
        </w:rPr>
      </w:pPr>
      <w:r>
        <w:rPr>
          <w:rFonts w:hint="eastAsia" w:ascii="宋体" w:hAnsi="宋体" w:cs="宋体"/>
          <w:snapToGrid w:val="0"/>
          <w:color w:val="auto"/>
          <w:kern w:val="0"/>
          <w:sz w:val="24"/>
          <w:szCs w:val="24"/>
          <w:highlight w:val="none"/>
        </w:rPr>
        <w:t>8.2</w:t>
      </w:r>
      <w:r>
        <w:rPr>
          <w:rFonts w:hint="eastAsia" w:ascii="宋体" w:hAnsi="宋体" w:cs="宋体"/>
          <w:snapToGrid w:val="0"/>
          <w:color w:val="auto"/>
          <w:kern w:val="0"/>
          <w:sz w:val="24"/>
          <w:szCs w:val="24"/>
          <w:highlight w:val="none"/>
          <w:lang w:val="zh-CN"/>
        </w:rPr>
        <w:t>除非竞争性磋商采购文件中另有规定，计量单位均采用中华人民共和国法定的计量单位。</w:t>
      </w:r>
    </w:p>
    <w:p>
      <w:pPr>
        <w:spacing w:line="400" w:lineRule="exact"/>
        <w:outlineLvl w:val="1"/>
        <w:rPr>
          <w:rFonts w:ascii="宋体" w:cs="Times New Roman"/>
          <w:b/>
          <w:bCs/>
          <w:snapToGrid w:val="0"/>
          <w:color w:val="auto"/>
          <w:kern w:val="0"/>
          <w:sz w:val="24"/>
          <w:szCs w:val="24"/>
          <w:highlight w:val="none"/>
          <w:lang w:val="zh-CN"/>
        </w:rPr>
      </w:pPr>
      <w:bookmarkStart w:id="106" w:name="_Toc3395"/>
      <w:bookmarkStart w:id="107" w:name="_Toc11523"/>
      <w:bookmarkStart w:id="108" w:name="_Toc1193"/>
      <w:bookmarkStart w:id="109" w:name="_Toc10866"/>
      <w:bookmarkStart w:id="110" w:name="_Toc12029"/>
      <w:bookmarkStart w:id="111" w:name="_Toc26564"/>
      <w:bookmarkStart w:id="112" w:name="_Toc446599886"/>
      <w:bookmarkStart w:id="113" w:name="_Toc447024827"/>
      <w:bookmarkStart w:id="114" w:name="_Toc12368"/>
      <w:r>
        <w:rPr>
          <w:rFonts w:hint="eastAsia" w:ascii="宋体" w:hAnsi="宋体" w:cs="宋体"/>
          <w:b/>
          <w:bCs/>
          <w:snapToGrid w:val="0"/>
          <w:color w:val="auto"/>
          <w:kern w:val="0"/>
          <w:sz w:val="24"/>
          <w:szCs w:val="24"/>
          <w:highlight w:val="none"/>
        </w:rPr>
        <w:t>9、</w:t>
      </w:r>
      <w:r>
        <w:rPr>
          <w:rFonts w:hint="eastAsia" w:ascii="宋体" w:hAnsi="宋体" w:cs="宋体"/>
          <w:b/>
          <w:bCs/>
          <w:snapToGrid w:val="0"/>
          <w:color w:val="auto"/>
          <w:kern w:val="0"/>
          <w:sz w:val="24"/>
          <w:szCs w:val="24"/>
          <w:highlight w:val="none"/>
          <w:lang w:val="zh-CN"/>
        </w:rPr>
        <w:t>竞争性磋商响应文件的构成</w:t>
      </w:r>
      <w:bookmarkEnd w:id="106"/>
      <w:bookmarkEnd w:id="107"/>
      <w:bookmarkEnd w:id="108"/>
      <w:bookmarkEnd w:id="109"/>
      <w:bookmarkEnd w:id="110"/>
      <w:bookmarkEnd w:id="111"/>
      <w:bookmarkEnd w:id="112"/>
      <w:bookmarkEnd w:id="113"/>
      <w:bookmarkEnd w:id="114"/>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9.1</w:t>
      </w:r>
      <w:r>
        <w:rPr>
          <w:rFonts w:hint="eastAsia" w:ascii="宋体" w:hAnsi="宋体" w:cs="宋体"/>
          <w:snapToGrid w:val="0"/>
          <w:color w:val="auto"/>
          <w:kern w:val="0"/>
          <w:sz w:val="24"/>
          <w:szCs w:val="24"/>
          <w:highlight w:val="none"/>
          <w:lang w:val="zh-CN"/>
        </w:rPr>
        <w:t>供应商编制的竞争性磋商响应件应包括但不少于下列内容：</w:t>
      </w:r>
    </w:p>
    <w:p>
      <w:pPr>
        <w:tabs>
          <w:tab w:val="left" w:pos="150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ascii="宋体" w:hAnsi="宋体" w:cs="宋体"/>
          <w:snapToGrid w:val="0"/>
          <w:color w:val="auto"/>
          <w:kern w:val="0"/>
          <w:sz w:val="24"/>
          <w:szCs w:val="24"/>
          <w:highlight w:val="none"/>
          <w:lang w:val="zh-CN"/>
        </w:rPr>
        <w:t>1</w:t>
      </w:r>
      <w:r>
        <w:rPr>
          <w:rFonts w:hint="eastAsia" w:ascii="宋体" w:hAnsi="宋体" w:cs="宋体"/>
          <w:snapToGrid w:val="0"/>
          <w:color w:val="auto"/>
          <w:kern w:val="0"/>
          <w:sz w:val="24"/>
          <w:szCs w:val="24"/>
          <w:highlight w:val="none"/>
          <w:lang w:val="zh-CN"/>
        </w:rPr>
        <w:t>）投标函</w:t>
      </w:r>
    </w:p>
    <w:p>
      <w:pPr>
        <w:tabs>
          <w:tab w:val="left" w:pos="1500"/>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2）报价一览表</w:t>
      </w:r>
    </w:p>
    <w:p>
      <w:pPr>
        <w:tabs>
          <w:tab w:val="left" w:pos="1500"/>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zh-CN"/>
        </w:rPr>
        <w:t>）分项报价表</w:t>
      </w:r>
    </w:p>
    <w:p>
      <w:pPr>
        <w:tabs>
          <w:tab w:val="left" w:pos="1500"/>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4</w:t>
      </w:r>
      <w:r>
        <w:rPr>
          <w:rFonts w:hint="eastAsia" w:ascii="宋体" w:hAnsi="宋体" w:cs="宋体"/>
          <w:snapToGrid w:val="0"/>
          <w:color w:val="auto"/>
          <w:kern w:val="0"/>
          <w:sz w:val="24"/>
          <w:szCs w:val="24"/>
          <w:highlight w:val="none"/>
          <w:lang w:val="zh-CN"/>
        </w:rPr>
        <w:t>）法定代表人授权书</w:t>
      </w:r>
    </w:p>
    <w:p>
      <w:pPr>
        <w:tabs>
          <w:tab w:val="left" w:pos="1500"/>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zh-CN"/>
        </w:rPr>
        <w:t>）资格证明文件</w:t>
      </w:r>
    </w:p>
    <w:p>
      <w:pPr>
        <w:tabs>
          <w:tab w:val="left" w:pos="1500"/>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lang w:val="zh-CN"/>
        </w:rPr>
        <w:t>）其它资料（格式自拟）</w:t>
      </w:r>
    </w:p>
    <w:p>
      <w:pPr>
        <w:spacing w:line="400" w:lineRule="exact"/>
        <w:outlineLvl w:val="1"/>
        <w:rPr>
          <w:rFonts w:ascii="宋体" w:cs="Times New Roman"/>
          <w:b/>
          <w:bCs/>
          <w:snapToGrid w:val="0"/>
          <w:color w:val="auto"/>
          <w:kern w:val="0"/>
          <w:sz w:val="24"/>
          <w:szCs w:val="24"/>
          <w:highlight w:val="none"/>
          <w:lang w:val="zh-CN"/>
        </w:rPr>
      </w:pPr>
      <w:bookmarkStart w:id="115" w:name="_Toc7853"/>
      <w:bookmarkStart w:id="116" w:name="_Toc30611"/>
      <w:bookmarkStart w:id="117" w:name="_Toc446599887"/>
      <w:bookmarkStart w:id="118" w:name="_Toc23412"/>
      <w:bookmarkStart w:id="119" w:name="_Toc6583"/>
      <w:bookmarkStart w:id="120" w:name="_Toc16830"/>
      <w:bookmarkStart w:id="121" w:name="_Toc6812"/>
      <w:bookmarkStart w:id="122" w:name="_Toc447024828"/>
      <w:bookmarkStart w:id="123" w:name="_Toc1603"/>
      <w:r>
        <w:rPr>
          <w:rFonts w:hint="eastAsia" w:ascii="宋体" w:hAnsi="宋体" w:cs="宋体"/>
          <w:b/>
          <w:bCs/>
          <w:snapToGrid w:val="0"/>
          <w:color w:val="auto"/>
          <w:kern w:val="0"/>
          <w:sz w:val="24"/>
          <w:szCs w:val="24"/>
          <w:highlight w:val="none"/>
        </w:rPr>
        <w:t>10、</w:t>
      </w:r>
      <w:r>
        <w:rPr>
          <w:rFonts w:hint="eastAsia" w:ascii="宋体" w:hAnsi="宋体" w:cs="宋体"/>
          <w:b/>
          <w:bCs/>
          <w:snapToGrid w:val="0"/>
          <w:color w:val="auto"/>
          <w:kern w:val="0"/>
          <w:sz w:val="24"/>
          <w:szCs w:val="24"/>
          <w:highlight w:val="none"/>
          <w:lang w:val="zh-CN"/>
        </w:rPr>
        <w:t>竞争性磋商响应文件的编制</w:t>
      </w:r>
      <w:bookmarkEnd w:id="115"/>
      <w:bookmarkEnd w:id="116"/>
      <w:bookmarkEnd w:id="117"/>
      <w:bookmarkEnd w:id="118"/>
      <w:bookmarkEnd w:id="119"/>
      <w:bookmarkEnd w:id="120"/>
      <w:bookmarkEnd w:id="121"/>
      <w:bookmarkEnd w:id="122"/>
      <w:bookmarkEnd w:id="123"/>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10.1</w:t>
      </w:r>
      <w:r>
        <w:rPr>
          <w:rFonts w:hint="eastAsia" w:ascii="宋体" w:hAnsi="宋体" w:cs="宋体"/>
          <w:snapToGrid w:val="0"/>
          <w:color w:val="auto"/>
          <w:kern w:val="0"/>
          <w:sz w:val="24"/>
          <w:szCs w:val="24"/>
          <w:highlight w:val="none"/>
          <w:lang w:val="zh-CN"/>
        </w:rPr>
        <w:t>供应商应当按照本采购文件的要求编制响应文件，并对其提交的响应文件及全部资料的真实性、合法性承担法律责任，并接受采购代理机构对其中任何资料进一步核实的要求。</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rPr>
        <w:t xml:space="preserve">10.2 </w:t>
      </w:r>
      <w:r>
        <w:rPr>
          <w:rFonts w:hint="eastAsia" w:ascii="宋体" w:hAnsi="宋体" w:cs="宋体"/>
          <w:b/>
          <w:bCs/>
          <w:snapToGrid w:val="0"/>
          <w:color w:val="auto"/>
          <w:kern w:val="0"/>
          <w:sz w:val="24"/>
          <w:szCs w:val="24"/>
          <w:highlight w:val="none"/>
          <w:lang w:val="zh-CN"/>
        </w:rPr>
        <w:t>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 xml:space="preserve">10.3 </w:t>
      </w:r>
      <w:r>
        <w:rPr>
          <w:rFonts w:hint="eastAsia" w:ascii="宋体" w:hAnsi="宋体" w:cs="宋体"/>
          <w:snapToGrid w:val="0"/>
          <w:color w:val="auto"/>
          <w:kern w:val="0"/>
          <w:sz w:val="24"/>
          <w:szCs w:val="24"/>
          <w:highlight w:val="none"/>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spacing w:line="400" w:lineRule="exact"/>
        <w:outlineLvl w:val="1"/>
        <w:rPr>
          <w:rFonts w:ascii="宋体" w:cs="Times New Roman"/>
          <w:b/>
          <w:bCs/>
          <w:snapToGrid w:val="0"/>
          <w:color w:val="auto"/>
          <w:kern w:val="0"/>
          <w:sz w:val="24"/>
          <w:szCs w:val="24"/>
          <w:highlight w:val="none"/>
          <w:lang w:val="zh-CN"/>
        </w:rPr>
      </w:pPr>
      <w:bookmarkStart w:id="124" w:name="_Toc21081"/>
      <w:bookmarkStart w:id="125" w:name="_Toc8668"/>
      <w:bookmarkStart w:id="126" w:name="_Toc6883"/>
      <w:bookmarkStart w:id="127" w:name="_Toc14196"/>
      <w:bookmarkStart w:id="128" w:name="_Toc447024829"/>
      <w:bookmarkStart w:id="129" w:name="_Toc5745"/>
      <w:bookmarkStart w:id="130" w:name="_Toc446599888"/>
      <w:bookmarkStart w:id="131" w:name="_Toc25210"/>
      <w:bookmarkStart w:id="132" w:name="_Toc28185"/>
      <w:r>
        <w:rPr>
          <w:rFonts w:hint="eastAsia" w:ascii="宋体" w:hAnsi="宋体" w:cs="宋体"/>
          <w:b/>
          <w:bCs/>
          <w:snapToGrid w:val="0"/>
          <w:color w:val="auto"/>
          <w:kern w:val="0"/>
          <w:sz w:val="24"/>
          <w:szCs w:val="24"/>
          <w:highlight w:val="none"/>
        </w:rPr>
        <w:t>11、</w:t>
      </w:r>
      <w:r>
        <w:rPr>
          <w:rFonts w:hint="eastAsia" w:ascii="宋体" w:hAnsi="宋体" w:cs="宋体"/>
          <w:b/>
          <w:bCs/>
          <w:snapToGrid w:val="0"/>
          <w:color w:val="auto"/>
          <w:kern w:val="0"/>
          <w:sz w:val="24"/>
          <w:szCs w:val="24"/>
          <w:highlight w:val="none"/>
          <w:lang w:val="zh-CN"/>
        </w:rPr>
        <w:t>磋商报价</w:t>
      </w:r>
      <w:bookmarkEnd w:id="124"/>
      <w:bookmarkEnd w:id="125"/>
      <w:bookmarkEnd w:id="126"/>
      <w:bookmarkEnd w:id="127"/>
      <w:bookmarkEnd w:id="128"/>
      <w:bookmarkEnd w:id="129"/>
      <w:bookmarkEnd w:id="130"/>
      <w:bookmarkEnd w:id="131"/>
      <w:bookmarkEnd w:id="132"/>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 xml:space="preserve">11.1 </w:t>
      </w:r>
      <w:r>
        <w:rPr>
          <w:rFonts w:hint="eastAsia" w:ascii="宋体" w:hAnsi="宋体" w:cs="宋体"/>
          <w:snapToGrid w:val="0"/>
          <w:color w:val="auto"/>
          <w:kern w:val="0"/>
          <w:sz w:val="24"/>
          <w:szCs w:val="24"/>
          <w:highlight w:val="none"/>
          <w:lang w:val="zh-CN"/>
        </w:rPr>
        <w:t>磋商报价包括供应商在首次提交的响应文件中的报价、磋商过程中的报价和最后报价。供应商的报价均应以人民币报价。</w:t>
      </w:r>
    </w:p>
    <w:p>
      <w:pPr>
        <w:tabs>
          <w:tab w:val="left" w:pos="540"/>
        </w:tabs>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hAnsi="宋体" w:cs="宋体"/>
          <w:snapToGrid w:val="0"/>
          <w:color w:val="auto"/>
          <w:kern w:val="0"/>
          <w:sz w:val="24"/>
          <w:szCs w:val="24"/>
          <w:highlight w:val="none"/>
        </w:rPr>
        <w:t xml:space="preserve">11.2 </w:t>
      </w:r>
      <w:r>
        <w:rPr>
          <w:rFonts w:hint="eastAsia" w:ascii="宋体" w:hAnsi="宋体" w:cs="宋体"/>
          <w:snapToGrid w:val="0"/>
          <w:color w:val="auto"/>
          <w:kern w:val="0"/>
          <w:sz w:val="24"/>
          <w:szCs w:val="24"/>
          <w:highlight w:val="none"/>
          <w:lang w:val="zh-CN"/>
        </w:rPr>
        <w:t>供应商应按照本采购文件规定的采购需求及合同条款等内容进行报价，并按竞争性磋商采购文件确定的格式报出。报价中不得包含竞争性磋商采购文件要求以外的内容，否则，在评审时不予核减。</w:t>
      </w:r>
    </w:p>
    <w:p>
      <w:pPr>
        <w:tabs>
          <w:tab w:val="left" w:pos="540"/>
        </w:tabs>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hAnsi="宋体" w:cs="宋体"/>
          <w:color w:val="auto"/>
          <w:sz w:val="24"/>
          <w:szCs w:val="24"/>
          <w:highlight w:val="none"/>
        </w:rPr>
        <w:t>11.3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供应商应根据本磋商文件的规定和要求、市场价格水平及其走势、</w:t>
      </w:r>
      <w:r>
        <w:rPr>
          <w:rFonts w:hint="eastAsia" w:ascii="宋体" w:hAnsi="宋体" w:cs="宋体"/>
          <w:snapToGrid w:val="0"/>
          <w:color w:val="auto"/>
          <w:kern w:val="0"/>
          <w:sz w:val="24"/>
          <w:szCs w:val="24"/>
          <w:highlight w:val="none"/>
          <w:lang w:val="zh-CN"/>
        </w:rPr>
        <w:t>供应商</w:t>
      </w:r>
      <w:r>
        <w:rPr>
          <w:rFonts w:hint="eastAsia" w:ascii="宋体" w:hAnsi="宋体" w:cs="宋体"/>
          <w:color w:val="auto"/>
          <w:sz w:val="24"/>
          <w:szCs w:val="24"/>
          <w:highlight w:val="none"/>
        </w:rPr>
        <w:t>的管理水平、</w:t>
      </w:r>
      <w:r>
        <w:rPr>
          <w:rFonts w:hint="eastAsia" w:ascii="宋体" w:hAnsi="宋体" w:cs="宋体"/>
          <w:snapToGrid w:val="0"/>
          <w:color w:val="auto"/>
          <w:kern w:val="0"/>
          <w:sz w:val="24"/>
          <w:szCs w:val="24"/>
          <w:highlight w:val="none"/>
          <w:lang w:val="zh-CN"/>
        </w:rPr>
        <w:t>供应商</w:t>
      </w:r>
      <w:r>
        <w:rPr>
          <w:rFonts w:hint="eastAsia" w:ascii="宋体" w:hAnsi="宋体" w:cs="宋体"/>
          <w:color w:val="auto"/>
          <w:sz w:val="24"/>
          <w:szCs w:val="24"/>
          <w:highlight w:val="none"/>
        </w:rPr>
        <w:t>的</w:t>
      </w:r>
      <w:r>
        <w:rPr>
          <w:rFonts w:hint="eastAsia" w:ascii="宋体" w:hAnsi="宋体" w:cs="宋体"/>
          <w:snapToGrid w:val="0"/>
          <w:color w:val="auto"/>
          <w:kern w:val="0"/>
          <w:sz w:val="24"/>
          <w:szCs w:val="24"/>
          <w:highlight w:val="none"/>
          <w:lang w:val="zh-CN"/>
        </w:rPr>
        <w:t>方案</w:t>
      </w:r>
      <w:r>
        <w:rPr>
          <w:rFonts w:hint="eastAsia" w:ascii="宋体" w:hAnsi="宋体" w:cs="宋体"/>
          <w:color w:val="auto"/>
          <w:sz w:val="24"/>
          <w:szCs w:val="24"/>
          <w:highlight w:val="none"/>
        </w:rPr>
        <w:t>和由这些因素决定的供应商之于本项目的成本水平等提出自己的报价。</w:t>
      </w:r>
      <w:r>
        <w:rPr>
          <w:rFonts w:hint="eastAsia" w:ascii="宋体" w:hAnsi="宋体" w:cs="宋体"/>
          <w:snapToGrid w:val="0"/>
          <w:color w:val="auto"/>
          <w:kern w:val="0"/>
          <w:sz w:val="24"/>
          <w:szCs w:val="24"/>
          <w:highlight w:val="none"/>
          <w:lang w:val="zh-CN"/>
        </w:rPr>
        <w:t>报价应包含完成本采购文件采购需求全部内容的所有费用，所有根据本采购文件或其它原因应由供应商支付的税款和其他应交纳的费用都应包括在报价中。</w:t>
      </w:r>
      <w:r>
        <w:rPr>
          <w:rFonts w:hint="eastAsia" w:ascii="宋体" w:hAnsi="宋体" w:cs="宋体"/>
          <w:b/>
          <w:bCs/>
          <w:color w:val="auto"/>
          <w:sz w:val="24"/>
          <w:szCs w:val="24"/>
          <w:highlight w:val="none"/>
        </w:rPr>
        <w:t>但供应商不得以低于其成本的价格进行报价，评标委员会认为供应商的报价明显低于其他通过符合性和资格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仿宋" w:hAnsi="仿宋" w:eastAsia="仿宋" w:cs="仿宋"/>
          <w:b/>
          <w:bCs/>
          <w:color w:val="auto"/>
          <w:sz w:val="28"/>
          <w:szCs w:val="28"/>
          <w:highlight w:val="none"/>
        </w:rPr>
        <w:t>☆</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color w:val="auto"/>
          <w:sz w:val="24"/>
          <w:szCs w:val="24"/>
          <w:highlight w:val="none"/>
        </w:rPr>
        <w:t>11.4</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供应商在响应文件中</w:t>
      </w:r>
      <w:r>
        <w:rPr>
          <w:rFonts w:hint="eastAsia" w:ascii="宋体" w:hAnsi="宋体" w:cs="宋体"/>
          <w:snapToGrid w:val="0"/>
          <w:color w:val="auto"/>
          <w:kern w:val="0"/>
          <w:sz w:val="24"/>
          <w:szCs w:val="24"/>
          <w:highlight w:val="none"/>
          <w:lang w:val="zh-CN"/>
        </w:rPr>
        <w:t>注明免费的项目将视为包含在报价中。</w:t>
      </w:r>
    </w:p>
    <w:p>
      <w:pPr>
        <w:tabs>
          <w:tab w:val="left" w:pos="540"/>
        </w:tabs>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rPr>
        <w:t xml:space="preserve">11.5 </w:t>
      </w:r>
      <w:r>
        <w:rPr>
          <w:rFonts w:hint="eastAsia" w:ascii="宋体" w:hAnsi="宋体" w:cs="宋体"/>
          <w:b/>
          <w:bCs/>
          <w:snapToGrid w:val="0"/>
          <w:color w:val="auto"/>
          <w:kern w:val="0"/>
          <w:sz w:val="24"/>
          <w:szCs w:val="24"/>
          <w:highlight w:val="none"/>
          <w:lang w:val="zh-CN"/>
        </w:rPr>
        <w:t>每一种采购内容只允许有一个报价，否则其响应文件将被视为无效文件。</w:t>
      </w:r>
      <w:r>
        <w:rPr>
          <w:rFonts w:hint="eastAsia" w:ascii="仿宋" w:hAnsi="仿宋" w:eastAsia="仿宋" w:cs="仿宋"/>
          <w:b/>
          <w:bCs/>
          <w:color w:val="auto"/>
          <w:sz w:val="28"/>
          <w:szCs w:val="28"/>
          <w:highlight w:val="none"/>
        </w:rPr>
        <w:t>☆</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 xml:space="preserve">11.6 </w:t>
      </w:r>
      <w:r>
        <w:rPr>
          <w:rFonts w:hint="eastAsia" w:ascii="宋体" w:hAnsi="宋体" w:cs="宋体"/>
          <w:snapToGrid w:val="0"/>
          <w:color w:val="auto"/>
          <w:kern w:val="0"/>
          <w:sz w:val="24"/>
          <w:szCs w:val="24"/>
          <w:highlight w:val="none"/>
          <w:lang w:val="zh-CN"/>
        </w:rPr>
        <w:t>成交供应商的报价在合同执行过程中是固定不变的，不得以任何理由予以变更。</w:t>
      </w:r>
    </w:p>
    <w:p>
      <w:pPr>
        <w:pStyle w:val="2"/>
        <w:ind w:firstLine="0" w:firstLineChars="0"/>
        <w:rPr>
          <w:color w:val="auto"/>
          <w:highlight w:val="none"/>
        </w:rPr>
      </w:pPr>
      <w:r>
        <w:rPr>
          <w:rFonts w:hint="eastAsia" w:ascii="宋体" w:hAnsi="宋体" w:cs="宋体"/>
          <w:snapToGrid w:val="0"/>
          <w:color w:val="auto"/>
          <w:kern w:val="0"/>
          <w:highlight w:val="none"/>
        </w:rPr>
        <w:t>11.7</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开标时，</w:t>
      </w:r>
      <w:r>
        <w:rPr>
          <w:rFonts w:hint="eastAsia" w:ascii="宋体" w:hAnsi="宋体" w:cs="宋体"/>
          <w:snapToGrid w:val="0"/>
          <w:color w:val="auto"/>
          <w:kern w:val="0"/>
          <w:highlight w:val="none"/>
          <w:lang w:eastAsia="zh-CN"/>
        </w:rPr>
        <w:t>响应文件</w:t>
      </w:r>
      <w:r>
        <w:rPr>
          <w:rFonts w:hint="eastAsia" w:ascii="宋体" w:hAnsi="宋体" w:cs="宋体"/>
          <w:snapToGrid w:val="0"/>
          <w:color w:val="auto"/>
          <w:kern w:val="0"/>
          <w:highlight w:val="none"/>
        </w:rPr>
        <w:t>中《报价一览表》内容与</w:t>
      </w:r>
      <w:r>
        <w:rPr>
          <w:rFonts w:hint="eastAsia" w:ascii="宋体" w:hAnsi="宋体" w:cs="宋体"/>
          <w:snapToGrid w:val="0"/>
          <w:color w:val="auto"/>
          <w:kern w:val="0"/>
          <w:highlight w:val="none"/>
          <w:lang w:eastAsia="zh-CN"/>
        </w:rPr>
        <w:t>响应文件</w:t>
      </w:r>
      <w:r>
        <w:rPr>
          <w:rFonts w:hint="eastAsia" w:ascii="宋体" w:hAnsi="宋体" w:cs="宋体"/>
          <w:snapToGrid w:val="0"/>
          <w:color w:val="auto"/>
          <w:kern w:val="0"/>
          <w:highlight w:val="none"/>
        </w:rPr>
        <w:t>中明细表内容不一致的，以《报价一览表》为准。</w:t>
      </w:r>
      <w:r>
        <w:rPr>
          <w:rFonts w:hint="eastAsia" w:ascii="宋体" w:hAnsi="宋体" w:cs="宋体"/>
          <w:snapToGrid w:val="0"/>
          <w:color w:val="auto"/>
          <w:kern w:val="0"/>
          <w:highlight w:val="none"/>
          <w:lang w:eastAsia="zh-CN"/>
        </w:rPr>
        <w:t>响应文件</w:t>
      </w:r>
      <w:r>
        <w:rPr>
          <w:rFonts w:hint="eastAsia" w:ascii="宋体" w:hAnsi="宋体" w:cs="宋体"/>
          <w:snapToGrid w:val="0"/>
          <w:color w:val="auto"/>
          <w:kern w:val="0"/>
          <w:highlight w:val="none"/>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cs="宋体"/>
          <w:snapToGrid w:val="0"/>
          <w:color w:val="auto"/>
          <w:kern w:val="0"/>
          <w:highlight w:val="none"/>
          <w:lang w:eastAsia="zh-CN"/>
        </w:rPr>
        <w:t>响应文件</w:t>
      </w:r>
      <w:r>
        <w:rPr>
          <w:rFonts w:hint="eastAsia" w:ascii="宋体" w:hAnsi="宋体" w:cs="宋体"/>
          <w:snapToGrid w:val="0"/>
          <w:color w:val="auto"/>
          <w:kern w:val="0"/>
          <w:highlight w:val="none"/>
        </w:rPr>
        <w:t>的解释发生异议的，以中文文本为准。</w:t>
      </w:r>
    </w:p>
    <w:p>
      <w:pPr>
        <w:tabs>
          <w:tab w:val="left" w:pos="864"/>
        </w:tabs>
        <w:spacing w:line="400" w:lineRule="exact"/>
        <w:outlineLvl w:val="1"/>
        <w:rPr>
          <w:rFonts w:ascii="宋体" w:cs="Times New Roman"/>
          <w:b/>
          <w:bCs/>
          <w:snapToGrid w:val="0"/>
          <w:color w:val="auto"/>
          <w:kern w:val="0"/>
          <w:sz w:val="24"/>
          <w:szCs w:val="24"/>
          <w:highlight w:val="none"/>
          <w:lang w:val="zh-CN"/>
        </w:rPr>
      </w:pPr>
      <w:bookmarkStart w:id="133" w:name="_Toc27926"/>
      <w:bookmarkStart w:id="134" w:name="_Toc447024830"/>
      <w:bookmarkStart w:id="135" w:name="_Toc3154"/>
      <w:bookmarkStart w:id="136" w:name="_Toc21325"/>
      <w:bookmarkStart w:id="137" w:name="_Toc24354"/>
      <w:bookmarkStart w:id="138" w:name="_Toc11648"/>
      <w:bookmarkStart w:id="139" w:name="_Toc31523"/>
      <w:bookmarkStart w:id="140" w:name="_Toc26287"/>
      <w:bookmarkStart w:id="141" w:name="_Toc446599889"/>
      <w:r>
        <w:rPr>
          <w:rFonts w:hint="eastAsia" w:ascii="宋体" w:hAnsi="宋体" w:cs="宋体"/>
          <w:b/>
          <w:bCs/>
          <w:snapToGrid w:val="0"/>
          <w:color w:val="auto"/>
          <w:kern w:val="0"/>
          <w:sz w:val="24"/>
          <w:szCs w:val="24"/>
          <w:highlight w:val="none"/>
        </w:rPr>
        <w:t>12、</w:t>
      </w:r>
      <w:r>
        <w:rPr>
          <w:rFonts w:hint="eastAsia" w:ascii="宋体" w:hAnsi="宋体" w:cs="宋体"/>
          <w:b/>
          <w:bCs/>
          <w:snapToGrid w:val="0"/>
          <w:color w:val="auto"/>
          <w:kern w:val="0"/>
          <w:sz w:val="24"/>
          <w:szCs w:val="24"/>
          <w:highlight w:val="none"/>
          <w:lang w:val="zh-CN"/>
        </w:rPr>
        <w:t>备选方案</w:t>
      </w:r>
      <w:bookmarkEnd w:id="133"/>
      <w:bookmarkEnd w:id="134"/>
      <w:bookmarkEnd w:id="135"/>
      <w:bookmarkEnd w:id="136"/>
      <w:bookmarkEnd w:id="137"/>
      <w:bookmarkEnd w:id="138"/>
      <w:bookmarkEnd w:id="139"/>
      <w:bookmarkEnd w:id="140"/>
      <w:bookmarkEnd w:id="141"/>
    </w:p>
    <w:p>
      <w:pPr>
        <w:autoSpaceDE w:val="0"/>
        <w:autoSpaceDN w:val="0"/>
        <w:spacing w:line="400" w:lineRule="exact"/>
        <w:jc w:val="left"/>
        <w:rPr>
          <w:rFonts w:ascii="宋体" w:cs="Times New Roman"/>
          <w:color w:val="auto"/>
          <w:kern w:val="0"/>
          <w:sz w:val="24"/>
          <w:szCs w:val="24"/>
          <w:highlight w:val="none"/>
        </w:rPr>
      </w:pPr>
      <w:bookmarkStart w:id="142" w:name="_Toc29974"/>
      <w:bookmarkStart w:id="143" w:name="_Toc4793"/>
      <w:bookmarkStart w:id="144" w:name="_Toc18700"/>
      <w:bookmarkStart w:id="145" w:name="_Toc28647"/>
      <w:bookmarkStart w:id="146" w:name="_Toc446599890"/>
      <w:bookmarkStart w:id="147" w:name="_Toc2813"/>
      <w:r>
        <w:rPr>
          <w:rFonts w:hint="eastAsia" w:ascii="宋体" w:hAnsi="宋体" w:cs="宋体"/>
          <w:color w:val="auto"/>
          <w:kern w:val="0"/>
          <w:sz w:val="24"/>
          <w:szCs w:val="24"/>
          <w:highlight w:val="none"/>
        </w:rPr>
        <w:t>12.1本项目不允许供应商有备选方案，</w:t>
      </w:r>
      <w:r>
        <w:rPr>
          <w:rFonts w:hint="eastAsia" w:ascii="宋体" w:hAnsi="宋体" w:cs="宋体"/>
          <w:b/>
          <w:bCs/>
          <w:color w:val="auto"/>
          <w:kern w:val="0"/>
          <w:sz w:val="24"/>
          <w:szCs w:val="24"/>
          <w:highlight w:val="none"/>
        </w:rPr>
        <w:t>否则视为无效投标。☆</w:t>
      </w:r>
    </w:p>
    <w:p>
      <w:pPr>
        <w:tabs>
          <w:tab w:val="left" w:pos="864"/>
        </w:tabs>
        <w:spacing w:line="400" w:lineRule="exact"/>
        <w:outlineLvl w:val="1"/>
        <w:rPr>
          <w:rFonts w:ascii="宋体" w:cs="Times New Roman"/>
          <w:b/>
          <w:bCs/>
          <w:snapToGrid w:val="0"/>
          <w:color w:val="auto"/>
          <w:kern w:val="0"/>
          <w:sz w:val="24"/>
          <w:szCs w:val="24"/>
          <w:highlight w:val="none"/>
          <w:lang w:val="zh-CN"/>
        </w:rPr>
      </w:pPr>
      <w:bookmarkStart w:id="148" w:name="_Toc447024831"/>
      <w:bookmarkStart w:id="149" w:name="_Toc13796"/>
      <w:bookmarkStart w:id="150" w:name="_Toc19702"/>
      <w:r>
        <w:rPr>
          <w:rFonts w:hint="eastAsia" w:ascii="宋体" w:hAnsi="宋体" w:cs="宋体"/>
          <w:b/>
          <w:bCs/>
          <w:snapToGrid w:val="0"/>
          <w:color w:val="auto"/>
          <w:kern w:val="0"/>
          <w:sz w:val="24"/>
          <w:szCs w:val="24"/>
          <w:highlight w:val="none"/>
        </w:rPr>
        <w:t>13、</w:t>
      </w:r>
      <w:r>
        <w:rPr>
          <w:rFonts w:hint="eastAsia" w:ascii="宋体" w:hAnsi="宋体" w:cs="宋体"/>
          <w:b/>
          <w:bCs/>
          <w:snapToGrid w:val="0"/>
          <w:color w:val="auto"/>
          <w:kern w:val="0"/>
          <w:sz w:val="24"/>
          <w:szCs w:val="24"/>
          <w:highlight w:val="none"/>
          <w:lang w:val="zh-CN"/>
        </w:rPr>
        <w:t>联合体</w:t>
      </w:r>
      <w:bookmarkEnd w:id="142"/>
      <w:bookmarkEnd w:id="143"/>
      <w:bookmarkEnd w:id="144"/>
      <w:bookmarkEnd w:id="145"/>
      <w:bookmarkEnd w:id="146"/>
      <w:bookmarkEnd w:id="147"/>
      <w:bookmarkEnd w:id="148"/>
      <w:bookmarkEnd w:id="149"/>
      <w:bookmarkEnd w:id="150"/>
    </w:p>
    <w:p>
      <w:pPr>
        <w:autoSpaceDE w:val="0"/>
        <w:autoSpaceDN w:val="0"/>
        <w:spacing w:line="400" w:lineRule="exact"/>
        <w:jc w:val="left"/>
        <w:rPr>
          <w:rFonts w:ascii="宋体" w:cs="Times New Roman"/>
          <w:color w:val="auto"/>
          <w:kern w:val="0"/>
          <w:sz w:val="24"/>
          <w:szCs w:val="24"/>
          <w:highlight w:val="none"/>
        </w:rPr>
      </w:pPr>
      <w:bookmarkStart w:id="151" w:name="_Toc25247"/>
      <w:bookmarkStart w:id="152" w:name="_Toc446599891"/>
      <w:bookmarkStart w:id="153" w:name="_Toc13898"/>
      <w:bookmarkStart w:id="154" w:name="_Toc25512"/>
      <w:bookmarkStart w:id="155" w:name="_Toc23135"/>
      <w:bookmarkStart w:id="156" w:name="_Toc7731"/>
      <w:r>
        <w:rPr>
          <w:rFonts w:hint="eastAsia" w:ascii="宋体" w:hAnsi="宋体" w:cs="宋体"/>
          <w:color w:val="auto"/>
          <w:kern w:val="0"/>
          <w:sz w:val="24"/>
          <w:szCs w:val="24"/>
          <w:highlight w:val="none"/>
        </w:rPr>
        <w:t>13.1本项目不接受联合体投标。</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157" w:name="_Toc447024832"/>
      <w:bookmarkStart w:id="158" w:name="_Toc3817"/>
      <w:bookmarkStart w:id="159" w:name="_Toc14623"/>
      <w:r>
        <w:rPr>
          <w:rFonts w:hint="eastAsia" w:ascii="宋体" w:hAnsi="宋体" w:cs="宋体"/>
          <w:b/>
          <w:bCs/>
          <w:snapToGrid w:val="0"/>
          <w:color w:val="auto"/>
          <w:kern w:val="0"/>
          <w:sz w:val="24"/>
          <w:szCs w:val="24"/>
          <w:highlight w:val="none"/>
        </w:rPr>
        <w:t>14、</w:t>
      </w:r>
      <w:r>
        <w:rPr>
          <w:rFonts w:hint="eastAsia" w:ascii="宋体" w:hAnsi="宋体" w:cs="宋体"/>
          <w:b/>
          <w:bCs/>
          <w:snapToGrid w:val="0"/>
          <w:color w:val="auto"/>
          <w:kern w:val="0"/>
          <w:sz w:val="24"/>
          <w:szCs w:val="24"/>
          <w:highlight w:val="none"/>
          <w:lang w:val="zh-CN"/>
        </w:rPr>
        <w:t>供应商资格证明文件</w:t>
      </w:r>
      <w:bookmarkEnd w:id="151"/>
      <w:bookmarkEnd w:id="152"/>
      <w:bookmarkEnd w:id="153"/>
      <w:bookmarkEnd w:id="154"/>
      <w:bookmarkEnd w:id="155"/>
      <w:bookmarkEnd w:id="156"/>
      <w:bookmarkEnd w:id="157"/>
      <w:bookmarkEnd w:id="158"/>
      <w:bookmarkEnd w:id="159"/>
    </w:p>
    <w:p>
      <w:pPr>
        <w:autoSpaceDE w:val="0"/>
        <w:autoSpaceDN w:val="0"/>
        <w:adjustRightInd w:val="0"/>
        <w:spacing w:line="400" w:lineRule="exact"/>
        <w:jc w:val="left"/>
        <w:rPr>
          <w:rFonts w:ascii="宋体" w:cs="Times New Roman"/>
          <w:color w:val="auto"/>
          <w:kern w:val="0"/>
          <w:sz w:val="24"/>
          <w:szCs w:val="24"/>
          <w:highlight w:val="none"/>
        </w:rPr>
      </w:pPr>
      <w:r>
        <w:rPr>
          <w:rFonts w:ascii="宋体" w:hAnsi="宋体" w:cs="宋体"/>
          <w:snapToGrid w:val="0"/>
          <w:color w:val="auto"/>
          <w:kern w:val="0"/>
          <w:sz w:val="24"/>
          <w:szCs w:val="24"/>
          <w:highlight w:val="none"/>
        </w:rPr>
        <w:t>14.</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zh-CN"/>
        </w:rPr>
        <w:t>供应商应在响应文件中提交证明其有资格参加磋商的证明文件</w:t>
      </w:r>
      <w:bookmarkStart w:id="160" w:name="_Toc18615"/>
      <w:bookmarkStart w:id="161" w:name="_Toc22202"/>
      <w:bookmarkStart w:id="162" w:name="_Toc16590"/>
      <w:bookmarkStart w:id="163" w:name="_Toc17370"/>
      <w:bookmarkStart w:id="164" w:name="_Toc446599892"/>
      <w:bookmarkStart w:id="165" w:name="_Toc24639"/>
      <w:r>
        <w:rPr>
          <w:rFonts w:hint="eastAsia" w:ascii="宋体" w:hAnsi="宋体" w:cs="宋体"/>
          <w:snapToGrid w:val="0"/>
          <w:color w:val="auto"/>
          <w:kern w:val="0"/>
          <w:sz w:val="24"/>
          <w:szCs w:val="24"/>
          <w:highlight w:val="none"/>
          <w:lang w:val="zh-CN"/>
        </w:rPr>
        <w:t>（本文第一章第二款所列内容）</w:t>
      </w:r>
      <w:r>
        <w:rPr>
          <w:rFonts w:hint="eastAsia" w:ascii="宋体" w:hAnsi="宋体" w:cs="宋体"/>
          <w:snapToGrid w:val="0"/>
          <w:color w:val="auto"/>
          <w:kern w:val="0"/>
          <w:sz w:val="24"/>
          <w:szCs w:val="24"/>
          <w:highlight w:val="none"/>
        </w:rPr>
        <w:t>。</w:t>
      </w:r>
    </w:p>
    <w:p>
      <w:pPr>
        <w:autoSpaceDE w:val="0"/>
        <w:autoSpaceDN w:val="0"/>
        <w:adjustRightInd w:val="0"/>
        <w:spacing w:line="400" w:lineRule="exact"/>
        <w:rPr>
          <w:rFonts w:ascii="宋体" w:cs="Times New Roman"/>
          <w:color w:val="auto"/>
          <w:kern w:val="0"/>
          <w:sz w:val="24"/>
          <w:szCs w:val="24"/>
          <w:highlight w:val="none"/>
        </w:rPr>
      </w:pPr>
      <w:r>
        <w:rPr>
          <w:rFonts w:ascii="宋体" w:hAnsi="宋体" w:cs="宋体"/>
          <w:color w:val="auto"/>
          <w:kern w:val="0"/>
          <w:sz w:val="24"/>
          <w:szCs w:val="24"/>
          <w:highlight w:val="none"/>
        </w:rPr>
        <w:t>14.2</w:t>
      </w:r>
      <w:r>
        <w:rPr>
          <w:rFonts w:hint="eastAsia" w:ascii="宋体" w:hAnsi="宋体" w:cs="宋体"/>
          <w:color w:val="auto"/>
          <w:kern w:val="0"/>
          <w:sz w:val="24"/>
          <w:szCs w:val="24"/>
          <w:highlight w:val="none"/>
        </w:rPr>
        <w:t>资格证明文件必须真实可靠、不得伪造，正本需要提供原件的</w:t>
      </w:r>
      <w:r>
        <w:rPr>
          <w:rFonts w:ascii="宋体" w:hAnsi="宋体" w:cs="宋体"/>
          <w:color w:val="auto"/>
          <w:kern w:val="0"/>
          <w:sz w:val="24"/>
          <w:szCs w:val="24"/>
          <w:highlight w:val="none"/>
        </w:rPr>
        <w:t>A4</w:t>
      </w:r>
      <w:r>
        <w:rPr>
          <w:rFonts w:hint="eastAsia" w:ascii="宋体" w:hAnsi="宋体" w:cs="宋体"/>
          <w:color w:val="auto"/>
          <w:kern w:val="0"/>
          <w:sz w:val="24"/>
          <w:szCs w:val="24"/>
          <w:highlight w:val="none"/>
        </w:rPr>
        <w:t>复印件加盖供应商印章，供评委审核，副本可用正本的复印件。评审时如有必要，需验看原件。资格证明文件仅限于供应商本身，股东单位和独立负责人子公司的材料不能作为证明材料，但供应商兼并的企业的材料可作为证明材料。</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166" w:name="_Toc23710"/>
      <w:bookmarkStart w:id="167" w:name="_Toc15656"/>
      <w:bookmarkStart w:id="168" w:name="_Toc447024833"/>
      <w:r>
        <w:rPr>
          <w:rFonts w:hint="eastAsia" w:ascii="宋体" w:hAnsi="宋体" w:cs="宋体"/>
          <w:b/>
          <w:bCs/>
          <w:snapToGrid w:val="0"/>
          <w:color w:val="auto"/>
          <w:kern w:val="0"/>
          <w:sz w:val="24"/>
          <w:szCs w:val="24"/>
          <w:highlight w:val="none"/>
        </w:rPr>
        <w:t>15、</w:t>
      </w:r>
      <w:r>
        <w:rPr>
          <w:rFonts w:hint="eastAsia" w:ascii="宋体" w:hAnsi="宋体" w:cs="宋体"/>
          <w:b/>
          <w:bCs/>
          <w:snapToGrid w:val="0"/>
          <w:color w:val="auto"/>
          <w:kern w:val="0"/>
          <w:sz w:val="24"/>
          <w:szCs w:val="24"/>
          <w:highlight w:val="none"/>
          <w:lang w:val="zh-CN"/>
        </w:rPr>
        <w:t>证明报价内容、服务合格性和符合竞争性磋商采购文件规定的文件</w:t>
      </w:r>
      <w:bookmarkEnd w:id="160"/>
      <w:bookmarkEnd w:id="161"/>
      <w:bookmarkEnd w:id="162"/>
      <w:bookmarkEnd w:id="163"/>
      <w:bookmarkEnd w:id="164"/>
      <w:bookmarkEnd w:id="165"/>
      <w:bookmarkEnd w:id="166"/>
      <w:bookmarkEnd w:id="167"/>
      <w:bookmarkEnd w:id="168"/>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15.1</w:t>
      </w:r>
      <w:r>
        <w:rPr>
          <w:rFonts w:hint="eastAsia" w:ascii="宋体" w:hAnsi="宋体" w:cs="宋体"/>
          <w:snapToGrid w:val="0"/>
          <w:color w:val="auto"/>
          <w:kern w:val="0"/>
          <w:sz w:val="24"/>
          <w:szCs w:val="24"/>
          <w:highlight w:val="none"/>
          <w:lang w:val="zh-CN"/>
        </w:rPr>
        <w:t>供应商业绩说明：供应商近年从事类似项目介绍，提供中标通知书和合同。</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169" w:name="_Toc7195"/>
      <w:bookmarkStart w:id="170" w:name="_Toc21233"/>
      <w:bookmarkStart w:id="171" w:name="_Toc24083"/>
      <w:bookmarkStart w:id="172" w:name="_Toc13198"/>
      <w:bookmarkStart w:id="173" w:name="_Toc9877"/>
      <w:bookmarkStart w:id="174" w:name="_Toc15964"/>
      <w:bookmarkStart w:id="175" w:name="_Toc447024835"/>
      <w:bookmarkStart w:id="176" w:name="_Toc2998"/>
      <w:bookmarkStart w:id="177" w:name="_Toc446599894"/>
      <w:r>
        <w:rPr>
          <w:rFonts w:hint="eastAsia" w:ascii="宋体" w:hAnsi="宋体" w:cs="宋体"/>
          <w:b/>
          <w:bCs/>
          <w:snapToGrid w:val="0"/>
          <w:color w:val="auto"/>
          <w:kern w:val="0"/>
          <w:sz w:val="24"/>
          <w:szCs w:val="24"/>
          <w:highlight w:val="none"/>
        </w:rPr>
        <w:t>16、</w:t>
      </w:r>
      <w:r>
        <w:rPr>
          <w:rFonts w:hint="eastAsia" w:ascii="宋体" w:hAnsi="宋体" w:cs="宋体"/>
          <w:b/>
          <w:bCs/>
          <w:snapToGrid w:val="0"/>
          <w:color w:val="auto"/>
          <w:kern w:val="0"/>
          <w:sz w:val="24"/>
          <w:szCs w:val="24"/>
          <w:highlight w:val="none"/>
          <w:lang w:val="zh-CN"/>
        </w:rPr>
        <w:t>磋商有效期</w:t>
      </w:r>
      <w:bookmarkEnd w:id="169"/>
      <w:bookmarkEnd w:id="170"/>
      <w:bookmarkEnd w:id="171"/>
      <w:bookmarkEnd w:id="172"/>
      <w:bookmarkEnd w:id="173"/>
      <w:bookmarkEnd w:id="174"/>
      <w:bookmarkEnd w:id="175"/>
      <w:bookmarkEnd w:id="176"/>
      <w:bookmarkEnd w:id="177"/>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rPr>
        <w:t>16.1</w:t>
      </w:r>
      <w:r>
        <w:rPr>
          <w:rFonts w:hint="eastAsia" w:ascii="宋体" w:hAnsi="宋体" w:cs="宋体"/>
          <w:b/>
          <w:bCs/>
          <w:snapToGrid w:val="0"/>
          <w:color w:val="auto"/>
          <w:kern w:val="0"/>
          <w:sz w:val="24"/>
          <w:szCs w:val="24"/>
          <w:highlight w:val="none"/>
          <w:lang w:val="zh-CN"/>
        </w:rPr>
        <w:t>磋商有效期从磋商结束之日起计算，本次采购磋商有效期见《磋商须知前附表》，供应商承诺的磋商有效期不足的，其响应文件将被视为无效文件</w:t>
      </w:r>
      <w:r>
        <w:rPr>
          <w:rFonts w:hint="eastAsia" w:ascii="宋体" w:hAnsi="宋体" w:cs="宋体"/>
          <w:snapToGrid w:val="0"/>
          <w:color w:val="auto"/>
          <w:kern w:val="0"/>
          <w:sz w:val="24"/>
          <w:szCs w:val="24"/>
          <w:highlight w:val="none"/>
          <w:lang w:val="zh-CN"/>
        </w:rPr>
        <w:t>。</w:t>
      </w:r>
      <w:r>
        <w:rPr>
          <w:rFonts w:hint="eastAsia" w:ascii="仿宋" w:hAnsi="仿宋" w:eastAsia="仿宋" w:cs="仿宋"/>
          <w:b/>
          <w:bCs/>
          <w:color w:val="auto"/>
          <w:sz w:val="28"/>
          <w:szCs w:val="28"/>
          <w:highlight w:val="none"/>
        </w:rPr>
        <w:t>☆</w:t>
      </w:r>
    </w:p>
    <w:p>
      <w:pPr>
        <w:tabs>
          <w:tab w:val="left" w:pos="525"/>
        </w:tabs>
        <w:autoSpaceDE w:val="0"/>
        <w:autoSpaceDN w:val="0"/>
        <w:adjustRightInd w:val="0"/>
        <w:spacing w:line="400" w:lineRule="exact"/>
        <w:jc w:val="left"/>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16.2</w:t>
      </w:r>
      <w:r>
        <w:rPr>
          <w:rFonts w:hint="eastAsia" w:ascii="宋体" w:hAnsi="宋体" w:cs="宋体"/>
          <w:snapToGrid w:val="0"/>
          <w:color w:val="auto"/>
          <w:kern w:val="0"/>
          <w:sz w:val="24"/>
          <w:szCs w:val="24"/>
          <w:highlight w:val="none"/>
          <w:lang w:val="zh-CN"/>
        </w:rPr>
        <w:t>特殊情况下，在原磋商有效期截止之前，采购代理机构或采购人可要求供应商延长磋商有效期。需要延长磋商有效期时，采购代理机构或采购人将以书面形式通知所有供应商，供应商应以书面形式答复是否同意延长磋商有效期。</w:t>
      </w:r>
    </w:p>
    <w:p>
      <w:pPr>
        <w:pStyle w:val="2"/>
        <w:spacing w:line="400" w:lineRule="exact"/>
        <w:ind w:firstLine="0" w:firstLineChars="0"/>
        <w:rPr>
          <w:color w:val="auto"/>
          <w:highlight w:val="none"/>
          <w:lang w:val="zh-CN"/>
        </w:rPr>
      </w:pPr>
      <w:r>
        <w:rPr>
          <w:rFonts w:hint="eastAsia" w:ascii="宋体" w:hAnsi="宋体" w:cs="宋体"/>
          <w:snapToGrid w:val="0"/>
          <w:color w:val="auto"/>
          <w:kern w:val="0"/>
          <w:highlight w:val="none"/>
          <w:lang w:val="zh-CN"/>
        </w:rPr>
        <w:t>16.3</w:t>
      </w:r>
      <w:r>
        <w:rPr>
          <w:rFonts w:hint="eastAsia"/>
          <w:color w:val="auto"/>
          <w:highlight w:val="none"/>
          <w:lang w:val="zh-CN"/>
        </w:rPr>
        <w:t>供应商同意延长磋商有效期的，不得要求或被允许修改或撤销其竞争性磋商响应文件其它实质响应内容，而只会被允许修正其投标有效期。</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178" w:name="_Toc5423"/>
      <w:bookmarkStart w:id="179" w:name="_Toc9791"/>
      <w:bookmarkStart w:id="180" w:name="_Toc447024836"/>
      <w:bookmarkStart w:id="181" w:name="_Toc17133"/>
      <w:bookmarkStart w:id="182" w:name="_Toc14132"/>
      <w:bookmarkStart w:id="183" w:name="_Toc446599895"/>
      <w:bookmarkStart w:id="184" w:name="_Toc2128"/>
      <w:bookmarkStart w:id="185" w:name="_Toc6125"/>
      <w:bookmarkStart w:id="186" w:name="_Toc24365"/>
      <w:r>
        <w:rPr>
          <w:rFonts w:hint="eastAsia" w:ascii="宋体" w:hAnsi="宋体" w:cs="宋体"/>
          <w:b/>
          <w:bCs/>
          <w:snapToGrid w:val="0"/>
          <w:color w:val="auto"/>
          <w:kern w:val="0"/>
          <w:sz w:val="24"/>
          <w:szCs w:val="24"/>
          <w:highlight w:val="none"/>
        </w:rPr>
        <w:t>17、</w:t>
      </w:r>
      <w:r>
        <w:rPr>
          <w:rFonts w:hint="eastAsia" w:ascii="宋体" w:hAnsi="宋体" w:cs="宋体"/>
          <w:b/>
          <w:bCs/>
          <w:snapToGrid w:val="0"/>
          <w:color w:val="auto"/>
          <w:kern w:val="0"/>
          <w:sz w:val="24"/>
          <w:szCs w:val="24"/>
          <w:highlight w:val="none"/>
          <w:lang w:val="zh-CN"/>
        </w:rPr>
        <w:t>竞争性磋商响应文件的装订、签署和数量</w:t>
      </w:r>
      <w:bookmarkEnd w:id="178"/>
      <w:bookmarkEnd w:id="179"/>
      <w:bookmarkEnd w:id="180"/>
      <w:bookmarkEnd w:id="181"/>
      <w:bookmarkEnd w:id="182"/>
      <w:bookmarkEnd w:id="183"/>
      <w:bookmarkEnd w:id="184"/>
      <w:bookmarkEnd w:id="185"/>
      <w:bookmarkEnd w:id="186"/>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17.1</w:t>
      </w:r>
      <w:r>
        <w:rPr>
          <w:rFonts w:hint="eastAsia" w:ascii="宋体" w:hAnsi="宋体" w:cs="宋体"/>
          <w:snapToGrid w:val="0"/>
          <w:color w:val="auto"/>
          <w:kern w:val="0"/>
          <w:sz w:val="24"/>
          <w:szCs w:val="24"/>
          <w:highlight w:val="none"/>
          <w:lang w:val="zh-CN"/>
        </w:rPr>
        <w:t>供应商提交的响应文件应包括正本、副本。本次供应商提交响应文件正、副本数量见《磋商须知前附表》，每套响应文件须清楚地标明“正本”、“副本”，响应文件的副本可采用正本的复印件，若副本与正本不符，以正本为准。</w:t>
      </w:r>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17.2</w:t>
      </w:r>
      <w:r>
        <w:rPr>
          <w:rFonts w:hint="eastAsia" w:ascii="宋体" w:hAnsi="宋体" w:cs="宋体"/>
          <w:snapToGrid w:val="0"/>
          <w:color w:val="auto"/>
          <w:kern w:val="0"/>
          <w:sz w:val="24"/>
          <w:szCs w:val="24"/>
          <w:highlight w:val="none"/>
          <w:lang w:val="zh-CN"/>
        </w:rPr>
        <w:t>正本需打印或用不褪色墨水书写，并由法定代表人或授权代表签字并加盖公章。由授权代表签字的，响应文件中应提交《法定代表人授权书》。</w:t>
      </w:r>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17.3</w:t>
      </w:r>
      <w:r>
        <w:rPr>
          <w:rFonts w:hint="eastAsia" w:ascii="宋体" w:hAnsi="宋体" w:cs="宋体"/>
          <w:snapToGrid w:val="0"/>
          <w:color w:val="auto"/>
          <w:kern w:val="0"/>
          <w:sz w:val="24"/>
          <w:szCs w:val="24"/>
          <w:highlight w:val="none"/>
          <w:lang w:val="zh-CN"/>
        </w:rPr>
        <w:t>竞争性磋商响应文件中的任何行间插字、涂改和增删，必须由法定代表人或授权代表在旁边签字才有效。</w:t>
      </w:r>
    </w:p>
    <w:p>
      <w:pPr>
        <w:tabs>
          <w:tab w:val="left" w:pos="525"/>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17.4</w:t>
      </w:r>
      <w:r>
        <w:rPr>
          <w:rFonts w:hint="eastAsia" w:ascii="宋体" w:hAnsi="宋体" w:cs="宋体"/>
          <w:snapToGrid w:val="0"/>
          <w:color w:val="auto"/>
          <w:kern w:val="0"/>
          <w:sz w:val="24"/>
          <w:szCs w:val="24"/>
          <w:highlight w:val="none"/>
          <w:lang w:val="zh-CN"/>
        </w:rPr>
        <w:t>响应文件应当采用不可拆卸的方法装订，对未经装订的竞争性磋商响应文件可能发生的文件散落或缺损及由此产生的后果由供应商承担。</w:t>
      </w:r>
    </w:p>
    <w:p>
      <w:pPr>
        <w:tabs>
          <w:tab w:val="left" w:pos="540"/>
        </w:tabs>
        <w:spacing w:line="400" w:lineRule="exact"/>
        <w:outlineLvl w:val="1"/>
        <w:rPr>
          <w:rFonts w:ascii="宋体" w:cs="Times New Roman"/>
          <w:b/>
          <w:bCs/>
          <w:color w:val="auto"/>
          <w:sz w:val="24"/>
          <w:szCs w:val="24"/>
          <w:highlight w:val="none"/>
        </w:rPr>
      </w:pPr>
      <w:bookmarkStart w:id="187" w:name="_Toc27577"/>
      <w:bookmarkStart w:id="188" w:name="_Toc447024837"/>
      <w:bookmarkStart w:id="189" w:name="_Toc6218"/>
      <w:bookmarkStart w:id="190" w:name="_Toc22926"/>
      <w:bookmarkStart w:id="191" w:name="_Toc446599896"/>
      <w:r>
        <w:rPr>
          <w:rFonts w:hint="eastAsia" w:ascii="宋体" w:hAnsi="宋体" w:cs="宋体"/>
          <w:b/>
          <w:bCs/>
          <w:color w:val="auto"/>
          <w:sz w:val="24"/>
          <w:szCs w:val="24"/>
          <w:highlight w:val="none"/>
        </w:rPr>
        <w:t>四、竞争性磋商响应文件的递交</w:t>
      </w:r>
      <w:bookmarkEnd w:id="187"/>
      <w:bookmarkEnd w:id="188"/>
      <w:bookmarkEnd w:id="189"/>
      <w:bookmarkEnd w:id="190"/>
      <w:bookmarkEnd w:id="191"/>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192" w:name="_Toc32049"/>
      <w:bookmarkStart w:id="193" w:name="_Toc32208"/>
      <w:bookmarkStart w:id="194" w:name="_Toc25769"/>
      <w:bookmarkStart w:id="195" w:name="_Toc446599897"/>
      <w:bookmarkStart w:id="196" w:name="_Toc447024838"/>
      <w:bookmarkStart w:id="197" w:name="_Toc5523"/>
      <w:bookmarkStart w:id="198" w:name="_Toc14587"/>
      <w:bookmarkStart w:id="199" w:name="_Toc13132"/>
      <w:bookmarkStart w:id="200" w:name="_Toc26420"/>
      <w:r>
        <w:rPr>
          <w:rFonts w:hint="eastAsia" w:ascii="宋体" w:hAnsi="宋体" w:cs="宋体"/>
          <w:b/>
          <w:bCs/>
          <w:color w:val="auto"/>
          <w:sz w:val="24"/>
          <w:szCs w:val="24"/>
          <w:highlight w:val="none"/>
        </w:rPr>
        <w:t>18、竞争性磋商响应文件</w:t>
      </w:r>
      <w:r>
        <w:rPr>
          <w:rFonts w:hint="eastAsia" w:ascii="宋体" w:hAnsi="宋体" w:cs="宋体"/>
          <w:b/>
          <w:bCs/>
          <w:snapToGrid w:val="0"/>
          <w:color w:val="auto"/>
          <w:kern w:val="0"/>
          <w:sz w:val="24"/>
          <w:szCs w:val="24"/>
          <w:highlight w:val="none"/>
          <w:lang w:val="zh-CN"/>
        </w:rPr>
        <w:t>的密封和标记</w:t>
      </w:r>
      <w:bookmarkEnd w:id="192"/>
      <w:bookmarkEnd w:id="193"/>
      <w:bookmarkEnd w:id="194"/>
      <w:bookmarkEnd w:id="195"/>
      <w:bookmarkEnd w:id="196"/>
      <w:bookmarkEnd w:id="197"/>
      <w:bookmarkEnd w:id="198"/>
      <w:bookmarkEnd w:id="199"/>
      <w:bookmarkEnd w:id="200"/>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18.1</w:t>
      </w:r>
      <w:r>
        <w:rPr>
          <w:rFonts w:hint="eastAsia" w:ascii="宋体" w:hAnsi="宋体" w:cs="宋体"/>
          <w:snapToGrid w:val="0"/>
          <w:color w:val="auto"/>
          <w:kern w:val="0"/>
          <w:sz w:val="24"/>
          <w:szCs w:val="24"/>
          <w:highlight w:val="none"/>
          <w:lang w:val="zh-CN"/>
        </w:rPr>
        <w:t>响应文件的正本、所有副本必须密封</w:t>
      </w:r>
      <w:r>
        <w:rPr>
          <w:rFonts w:hint="eastAsia" w:ascii="宋体" w:hAnsi="宋体" w:cs="宋体"/>
          <w:snapToGrid w:val="0"/>
          <w:color w:val="auto"/>
          <w:kern w:val="0"/>
          <w:sz w:val="24"/>
          <w:szCs w:val="24"/>
          <w:highlight w:val="none"/>
        </w:rPr>
        <w:t>和</w:t>
      </w:r>
      <w:r>
        <w:rPr>
          <w:rFonts w:hint="eastAsia" w:ascii="宋体" w:hAnsi="宋体" w:cs="宋体"/>
          <w:snapToGrid w:val="0"/>
          <w:color w:val="auto"/>
          <w:kern w:val="0"/>
          <w:sz w:val="24"/>
          <w:szCs w:val="24"/>
          <w:highlight w:val="none"/>
          <w:lang w:val="zh-CN"/>
        </w:rPr>
        <w:t>加盖供应商公章</w:t>
      </w:r>
      <w:r>
        <w:rPr>
          <w:rFonts w:hint="eastAsia" w:ascii="宋体" w:hAnsi="宋体" w:cs="宋体"/>
          <w:snapToGrid w:val="0"/>
          <w:color w:val="auto"/>
          <w:kern w:val="0"/>
          <w:sz w:val="24"/>
          <w:szCs w:val="24"/>
          <w:highlight w:val="none"/>
        </w:rPr>
        <w:t>后</w:t>
      </w:r>
      <w:r>
        <w:rPr>
          <w:rFonts w:hint="eastAsia" w:ascii="宋体" w:hAnsi="宋体" w:cs="宋体"/>
          <w:snapToGrid w:val="0"/>
          <w:color w:val="auto"/>
          <w:kern w:val="0"/>
          <w:sz w:val="24"/>
          <w:szCs w:val="24"/>
          <w:highlight w:val="none"/>
          <w:lang w:val="zh-CN"/>
        </w:rPr>
        <w:t>递交，包装上应注明采购编号、项目名称、包号、供应商名称及“</w:t>
      </w:r>
      <w:r>
        <w:rPr>
          <w:rFonts w:hint="eastAsia" w:ascii="宋体" w:hAnsi="宋体" w:cs="宋体"/>
          <w:snapToGrid w:val="0"/>
          <w:color w:val="auto"/>
          <w:kern w:val="0"/>
          <w:sz w:val="24"/>
          <w:szCs w:val="24"/>
          <w:highlight w:val="none"/>
          <w:u w:val="single"/>
          <w:lang w:val="zh-CN"/>
        </w:rPr>
        <w:t>（磋商时间）前</w:t>
      </w:r>
      <w:r>
        <w:rPr>
          <w:rFonts w:hint="eastAsia" w:ascii="宋体" w:hAnsi="宋体" w:cs="宋体"/>
          <w:snapToGrid w:val="0"/>
          <w:color w:val="auto"/>
          <w:kern w:val="0"/>
          <w:sz w:val="24"/>
          <w:szCs w:val="24"/>
          <w:highlight w:val="none"/>
          <w:lang w:val="zh-CN"/>
        </w:rPr>
        <w:t>不得启封”的字样；</w:t>
      </w:r>
    </w:p>
    <w:p>
      <w:pPr>
        <w:tabs>
          <w:tab w:val="left" w:pos="540"/>
        </w:tabs>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cs="Times New Roman"/>
          <w:snapToGrid w:val="0"/>
          <w:color w:val="auto"/>
          <w:kern w:val="0"/>
          <w:sz w:val="24"/>
          <w:szCs w:val="24"/>
          <w:highlight w:val="none"/>
        </w:rPr>
        <w:t>18.2</w:t>
      </w:r>
      <w:r>
        <w:rPr>
          <w:rFonts w:hint="eastAsia" w:ascii="宋体" w:cs="Times New Roman"/>
          <w:b/>
          <w:bCs/>
          <w:snapToGrid w:val="0"/>
          <w:color w:val="auto"/>
          <w:kern w:val="0"/>
          <w:sz w:val="24"/>
          <w:szCs w:val="24"/>
          <w:highlight w:val="none"/>
          <w:lang w:val="zh-CN"/>
        </w:rPr>
        <w:t>供应商在投标时请另外准备“法定代表人授权书原件（一份）”开标现场核验身份；</w:t>
      </w:r>
    </w:p>
    <w:p>
      <w:pPr>
        <w:tabs>
          <w:tab w:val="left" w:pos="540"/>
        </w:tabs>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rPr>
        <w:t>18.3</w:t>
      </w:r>
      <w:r>
        <w:rPr>
          <w:rFonts w:hint="eastAsia" w:ascii="宋体" w:hAnsi="宋体" w:cs="宋体"/>
          <w:b/>
          <w:bCs/>
          <w:snapToGrid w:val="0"/>
          <w:color w:val="auto"/>
          <w:kern w:val="0"/>
          <w:sz w:val="24"/>
          <w:szCs w:val="24"/>
          <w:highlight w:val="none"/>
          <w:lang w:val="zh-CN"/>
        </w:rPr>
        <w:t>未按要求密封和标记的响应文件为无效文件，采购人、采购代理机构将拒收。</w:t>
      </w:r>
      <w:r>
        <w:rPr>
          <w:rFonts w:hint="eastAsia" w:ascii="仿宋" w:hAnsi="仿宋" w:eastAsia="仿宋" w:cs="仿宋"/>
          <w:b/>
          <w:bCs/>
          <w:color w:val="auto"/>
          <w:sz w:val="28"/>
          <w:szCs w:val="28"/>
          <w:highlight w:val="none"/>
        </w:rPr>
        <w:t>☆</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201" w:name="_Toc20678"/>
      <w:bookmarkStart w:id="202" w:name="_Toc446599898"/>
      <w:bookmarkStart w:id="203" w:name="_Toc30092"/>
      <w:bookmarkStart w:id="204" w:name="_Toc6537"/>
      <w:bookmarkStart w:id="205" w:name="_Toc3979"/>
      <w:bookmarkStart w:id="206" w:name="_Toc26517"/>
      <w:bookmarkStart w:id="207" w:name="_Toc447024839"/>
      <w:bookmarkStart w:id="208" w:name="_Toc17381"/>
      <w:bookmarkStart w:id="209" w:name="_Toc24753"/>
      <w:r>
        <w:rPr>
          <w:rFonts w:hint="eastAsia" w:ascii="宋体" w:hAnsi="宋体" w:cs="宋体"/>
          <w:b/>
          <w:bCs/>
          <w:snapToGrid w:val="0"/>
          <w:color w:val="auto"/>
          <w:kern w:val="0"/>
          <w:sz w:val="24"/>
          <w:szCs w:val="24"/>
          <w:highlight w:val="none"/>
        </w:rPr>
        <w:t>19、</w:t>
      </w:r>
      <w:r>
        <w:rPr>
          <w:rFonts w:hint="eastAsia" w:ascii="宋体" w:hAnsi="宋体" w:cs="宋体"/>
          <w:b/>
          <w:bCs/>
          <w:snapToGrid w:val="0"/>
          <w:color w:val="auto"/>
          <w:kern w:val="0"/>
          <w:sz w:val="24"/>
          <w:szCs w:val="24"/>
          <w:highlight w:val="none"/>
          <w:lang w:val="zh-CN"/>
        </w:rPr>
        <w:t>竞争性磋商响应文件的送达地点及截止时间</w:t>
      </w:r>
      <w:bookmarkEnd w:id="201"/>
      <w:bookmarkEnd w:id="202"/>
      <w:bookmarkEnd w:id="203"/>
      <w:bookmarkEnd w:id="204"/>
      <w:bookmarkEnd w:id="205"/>
      <w:bookmarkEnd w:id="206"/>
      <w:bookmarkEnd w:id="207"/>
      <w:bookmarkEnd w:id="208"/>
      <w:bookmarkEnd w:id="209"/>
    </w:p>
    <w:p>
      <w:pPr>
        <w:autoSpaceDE w:val="0"/>
        <w:autoSpaceDN w:val="0"/>
        <w:adjustRightInd w:val="0"/>
        <w:spacing w:line="400" w:lineRule="exact"/>
        <w:jc w:val="left"/>
        <w:rPr>
          <w:rFonts w:ascii="宋体" w:cs="Times New Roman"/>
          <w:b/>
          <w:bCs/>
          <w:snapToGrid w:val="0"/>
          <w:color w:val="auto"/>
          <w:kern w:val="0"/>
          <w:sz w:val="24"/>
          <w:szCs w:val="24"/>
          <w:highlight w:val="none"/>
          <w:lang w:val="zh-CN"/>
        </w:rPr>
      </w:pPr>
      <w:r>
        <w:rPr>
          <w:rFonts w:hint="eastAsia" w:ascii="宋体" w:hAnsi="宋体" w:cs="宋体"/>
          <w:snapToGrid w:val="0"/>
          <w:color w:val="auto"/>
          <w:kern w:val="0"/>
          <w:sz w:val="24"/>
          <w:szCs w:val="24"/>
          <w:highlight w:val="none"/>
        </w:rPr>
        <w:t>19.1</w:t>
      </w:r>
      <w:r>
        <w:rPr>
          <w:rFonts w:hint="eastAsia" w:ascii="宋体" w:hAnsi="宋体" w:cs="宋体"/>
          <w:snapToGrid w:val="0"/>
          <w:color w:val="auto"/>
          <w:kern w:val="0"/>
          <w:sz w:val="24"/>
          <w:szCs w:val="24"/>
          <w:highlight w:val="none"/>
          <w:lang w:val="zh-CN"/>
        </w:rPr>
        <w:t>截止时间是竞争性磋商文件中规定的首次送达、提交响应文件的最后时间。本次磋商响应文件的送达地点及截止时间见《磋商须知前附表》。</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210" w:name="_Toc3454"/>
      <w:bookmarkStart w:id="211" w:name="_Toc478"/>
      <w:bookmarkStart w:id="212" w:name="_Toc18685"/>
      <w:bookmarkStart w:id="213" w:name="_Toc446599899"/>
      <w:bookmarkStart w:id="214" w:name="_Toc31749"/>
      <w:bookmarkStart w:id="215" w:name="_Toc447024840"/>
      <w:bookmarkStart w:id="216" w:name="_Toc1951"/>
      <w:bookmarkStart w:id="217" w:name="_Toc21117"/>
      <w:bookmarkStart w:id="218" w:name="_Toc11867"/>
      <w:r>
        <w:rPr>
          <w:rFonts w:hint="eastAsia" w:ascii="宋体" w:hAnsi="宋体" w:cs="宋体"/>
          <w:b/>
          <w:bCs/>
          <w:snapToGrid w:val="0"/>
          <w:color w:val="auto"/>
          <w:kern w:val="0"/>
          <w:sz w:val="24"/>
          <w:szCs w:val="24"/>
          <w:highlight w:val="none"/>
        </w:rPr>
        <w:t>20、</w:t>
      </w:r>
      <w:r>
        <w:rPr>
          <w:rFonts w:hint="eastAsia" w:ascii="宋体" w:hAnsi="宋体" w:cs="宋体"/>
          <w:b/>
          <w:bCs/>
          <w:snapToGrid w:val="0"/>
          <w:color w:val="auto"/>
          <w:kern w:val="0"/>
          <w:sz w:val="24"/>
          <w:szCs w:val="24"/>
          <w:highlight w:val="none"/>
          <w:lang w:val="zh-CN"/>
        </w:rPr>
        <w:t>迟交的竞争性磋商响应文件</w:t>
      </w:r>
      <w:bookmarkEnd w:id="210"/>
      <w:bookmarkEnd w:id="211"/>
      <w:bookmarkEnd w:id="212"/>
      <w:bookmarkEnd w:id="213"/>
      <w:bookmarkEnd w:id="214"/>
      <w:bookmarkEnd w:id="215"/>
      <w:bookmarkEnd w:id="216"/>
      <w:bookmarkEnd w:id="217"/>
      <w:bookmarkEnd w:id="218"/>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hint="eastAsia" w:ascii="宋体" w:hAnsi="宋体" w:cs="宋体"/>
          <w:snapToGrid w:val="0"/>
          <w:color w:val="auto"/>
          <w:kern w:val="0"/>
          <w:sz w:val="24"/>
          <w:szCs w:val="24"/>
          <w:highlight w:val="none"/>
        </w:rPr>
        <w:t>20.1</w:t>
      </w:r>
      <w:r>
        <w:rPr>
          <w:rFonts w:hint="eastAsia" w:ascii="宋体" w:hAnsi="宋体" w:cs="宋体"/>
          <w:snapToGrid w:val="0"/>
          <w:color w:val="auto"/>
          <w:kern w:val="0"/>
          <w:sz w:val="24"/>
          <w:szCs w:val="24"/>
          <w:highlight w:val="none"/>
          <w:lang w:val="zh-CN"/>
        </w:rPr>
        <w:t>在本次磋商递交响应文件的截止时间以后送达的响应文件，不论何种原因，采购代理机构将拒收。</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219" w:name="_Toc14448"/>
      <w:bookmarkStart w:id="220" w:name="_Toc549"/>
      <w:bookmarkStart w:id="221" w:name="_Toc447024841"/>
      <w:bookmarkStart w:id="222" w:name="_Toc3707"/>
      <w:bookmarkStart w:id="223" w:name="_Toc11805"/>
      <w:bookmarkStart w:id="224" w:name="_Toc28288"/>
      <w:bookmarkStart w:id="225" w:name="_Toc446599900"/>
      <w:bookmarkStart w:id="226" w:name="_Toc19445"/>
      <w:bookmarkStart w:id="227" w:name="_Toc9024"/>
      <w:r>
        <w:rPr>
          <w:rFonts w:hint="eastAsia" w:ascii="宋体" w:hAnsi="宋体" w:cs="宋体"/>
          <w:b/>
          <w:bCs/>
          <w:snapToGrid w:val="0"/>
          <w:color w:val="auto"/>
          <w:kern w:val="0"/>
          <w:sz w:val="24"/>
          <w:szCs w:val="24"/>
          <w:highlight w:val="none"/>
        </w:rPr>
        <w:t>21、</w:t>
      </w:r>
      <w:r>
        <w:rPr>
          <w:rFonts w:hint="eastAsia" w:ascii="宋体" w:hAnsi="宋体" w:cs="宋体"/>
          <w:b/>
          <w:bCs/>
          <w:snapToGrid w:val="0"/>
          <w:color w:val="auto"/>
          <w:kern w:val="0"/>
          <w:sz w:val="24"/>
          <w:szCs w:val="24"/>
          <w:highlight w:val="none"/>
          <w:lang w:val="zh-CN"/>
        </w:rPr>
        <w:t>竞争性磋商响应文件的补充、修改或者撤回</w:t>
      </w:r>
      <w:bookmarkEnd w:id="219"/>
      <w:bookmarkEnd w:id="220"/>
      <w:bookmarkEnd w:id="221"/>
      <w:bookmarkEnd w:id="222"/>
      <w:bookmarkEnd w:id="223"/>
      <w:bookmarkEnd w:id="224"/>
      <w:bookmarkEnd w:id="225"/>
      <w:bookmarkEnd w:id="226"/>
      <w:bookmarkEnd w:id="227"/>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21.1供应商在递交响应文件后，可以修改其响应文件，但供应商必须在规定的响应文件递交截止期之前将修改的响应文件递交到采购代理机构。在响应文件递交截止期之后，供应商不得对其响应文件做任何修改。供应商在递交响应文件后，可以撤回其投标，但供应商必须在规定的递交响应文件截止期之前以书面形式告知采购代理机构。</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21.2从提交响应文件截止时间至磋商有效期期满这段时间，供应商不得修改或撤销其响应文件。</w:t>
      </w:r>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color w:val="auto"/>
          <w:kern w:val="0"/>
          <w:sz w:val="24"/>
          <w:szCs w:val="24"/>
          <w:highlight w:val="none"/>
        </w:rPr>
        <w:t>21.3供应商所提交的响应文件在磋商结束后，无论成交与否都不退还。</w:t>
      </w:r>
    </w:p>
    <w:p>
      <w:pPr>
        <w:tabs>
          <w:tab w:val="left" w:pos="540"/>
        </w:tabs>
        <w:spacing w:line="400" w:lineRule="exact"/>
        <w:outlineLvl w:val="1"/>
        <w:rPr>
          <w:rFonts w:ascii="宋体" w:cs="Times New Roman"/>
          <w:b/>
          <w:bCs/>
          <w:color w:val="auto"/>
          <w:sz w:val="24"/>
          <w:szCs w:val="24"/>
          <w:highlight w:val="none"/>
        </w:rPr>
      </w:pPr>
      <w:bookmarkStart w:id="228" w:name="_Toc446599901"/>
      <w:bookmarkStart w:id="229" w:name="_Toc228"/>
      <w:bookmarkStart w:id="230" w:name="_Toc18459"/>
      <w:bookmarkStart w:id="231" w:name="_Toc8665"/>
      <w:bookmarkStart w:id="232" w:name="_Toc447024842"/>
      <w:r>
        <w:rPr>
          <w:rFonts w:hint="eastAsia" w:ascii="宋体" w:hAnsi="宋体" w:cs="宋体"/>
          <w:b/>
          <w:bCs/>
          <w:color w:val="auto"/>
          <w:sz w:val="24"/>
          <w:szCs w:val="24"/>
          <w:highlight w:val="none"/>
        </w:rPr>
        <w:t>五、磋商程序及步骤</w:t>
      </w:r>
      <w:bookmarkEnd w:id="228"/>
      <w:bookmarkEnd w:id="229"/>
      <w:bookmarkEnd w:id="230"/>
      <w:bookmarkEnd w:id="231"/>
      <w:bookmarkEnd w:id="232"/>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233" w:name="_Toc447024843"/>
      <w:bookmarkStart w:id="234" w:name="_Toc27157"/>
      <w:bookmarkStart w:id="235" w:name="_Toc446599902"/>
      <w:bookmarkStart w:id="236" w:name="_Toc30717"/>
      <w:bookmarkStart w:id="237" w:name="_Toc1799"/>
      <w:bookmarkStart w:id="238" w:name="_Toc26975"/>
      <w:bookmarkStart w:id="239" w:name="_Toc21296"/>
      <w:bookmarkStart w:id="240" w:name="_Toc7474"/>
      <w:bookmarkStart w:id="241" w:name="_Toc9118"/>
      <w:r>
        <w:rPr>
          <w:rFonts w:hint="eastAsia" w:cs="宋体"/>
          <w:b/>
          <w:bCs/>
          <w:color w:val="auto"/>
          <w:sz w:val="24"/>
          <w:szCs w:val="24"/>
          <w:highlight w:val="none"/>
        </w:rPr>
        <w:t>22、竞争性磋商小组</w:t>
      </w:r>
      <w:bookmarkEnd w:id="233"/>
      <w:bookmarkEnd w:id="234"/>
      <w:bookmarkEnd w:id="235"/>
      <w:bookmarkEnd w:id="236"/>
      <w:bookmarkEnd w:id="237"/>
      <w:bookmarkEnd w:id="238"/>
      <w:bookmarkEnd w:id="239"/>
      <w:bookmarkEnd w:id="240"/>
      <w:bookmarkEnd w:id="241"/>
    </w:p>
    <w:p>
      <w:pPr>
        <w:tabs>
          <w:tab w:val="left" w:pos="540"/>
        </w:tabs>
        <w:spacing w:line="400" w:lineRule="exact"/>
        <w:rPr>
          <w:rFonts w:cs="Times New Roman"/>
          <w:color w:val="auto"/>
          <w:sz w:val="24"/>
          <w:szCs w:val="24"/>
          <w:highlight w:val="none"/>
        </w:rPr>
      </w:pPr>
      <w:r>
        <w:rPr>
          <w:rFonts w:hint="eastAsia" w:ascii="宋体" w:hAnsi="宋体" w:cs="宋体"/>
          <w:color w:val="auto"/>
          <w:sz w:val="24"/>
          <w:szCs w:val="24"/>
          <w:highlight w:val="none"/>
        </w:rPr>
        <w:t>22.1采购代理机构依照《中华人民共和国政府采购法》、《中华人民共和国政府采购法实施条例》、《政府采购竞争性磋商采购方式管理暂行办法》及现行法律规定组建</w:t>
      </w:r>
      <w:r>
        <w:rPr>
          <w:rFonts w:hint="eastAsia" w:cs="宋体"/>
          <w:color w:val="auto"/>
          <w:sz w:val="24"/>
          <w:szCs w:val="24"/>
          <w:highlight w:val="none"/>
        </w:rPr>
        <w:t>磋商小组</w:t>
      </w:r>
      <w:r>
        <w:rPr>
          <w:rFonts w:hint="eastAsia" w:ascii="宋体" w:hAnsi="宋体" w:cs="宋体"/>
          <w:color w:val="auto"/>
          <w:sz w:val="24"/>
          <w:szCs w:val="24"/>
          <w:highlight w:val="none"/>
        </w:rPr>
        <w:t>，</w:t>
      </w:r>
      <w:r>
        <w:rPr>
          <w:rFonts w:hint="eastAsia" w:cs="宋体"/>
          <w:color w:val="auto"/>
          <w:sz w:val="24"/>
          <w:szCs w:val="24"/>
          <w:highlight w:val="none"/>
        </w:rPr>
        <w:t>磋商小组由采购人代表和评审专家共</w:t>
      </w:r>
      <w:r>
        <w:rPr>
          <w:color w:val="auto"/>
          <w:sz w:val="24"/>
          <w:szCs w:val="24"/>
          <w:highlight w:val="none"/>
        </w:rPr>
        <w:t xml:space="preserve">3 </w:t>
      </w:r>
      <w:r>
        <w:rPr>
          <w:rFonts w:hint="eastAsia" w:cs="宋体"/>
          <w:color w:val="auto"/>
          <w:sz w:val="24"/>
          <w:szCs w:val="24"/>
          <w:highlight w:val="none"/>
        </w:rPr>
        <w:t>人（含</w:t>
      </w:r>
      <w:r>
        <w:rPr>
          <w:color w:val="auto"/>
          <w:sz w:val="24"/>
          <w:szCs w:val="24"/>
          <w:highlight w:val="none"/>
        </w:rPr>
        <w:t xml:space="preserve"> 3 </w:t>
      </w:r>
      <w:r>
        <w:rPr>
          <w:rFonts w:hint="eastAsia" w:cs="宋体"/>
          <w:color w:val="auto"/>
          <w:sz w:val="24"/>
          <w:szCs w:val="24"/>
          <w:highlight w:val="none"/>
        </w:rPr>
        <w:t>人）以上单数组成</w:t>
      </w:r>
      <w:r>
        <w:rPr>
          <w:rFonts w:hint="eastAsia" w:ascii="宋体" w:hAnsi="宋体" w:cs="宋体"/>
          <w:color w:val="auto"/>
          <w:sz w:val="24"/>
          <w:szCs w:val="24"/>
          <w:highlight w:val="none"/>
        </w:rPr>
        <w:t>。</w:t>
      </w:r>
      <w:r>
        <w:rPr>
          <w:rFonts w:hint="eastAsia" w:cs="宋体"/>
          <w:color w:val="auto"/>
          <w:sz w:val="24"/>
          <w:szCs w:val="24"/>
          <w:highlight w:val="none"/>
        </w:rPr>
        <w:t>磋商小组人数详见第四章。</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 xml:space="preserve">2 </w:t>
      </w:r>
      <w:r>
        <w:rPr>
          <w:rFonts w:hint="eastAsia" w:ascii="宋体" w:hAnsi="宋体" w:cs="宋体"/>
          <w:color w:val="auto"/>
          <w:sz w:val="24"/>
          <w:szCs w:val="24"/>
          <w:highlight w:val="none"/>
        </w:rPr>
        <w:t>磋商小组中的评审专家人数不少于磋商小组成员总数的</w:t>
      </w:r>
      <w:r>
        <w:rPr>
          <w:rFonts w:ascii="宋体" w:hAnsi="宋体" w:cs="宋体"/>
          <w:color w:val="auto"/>
          <w:sz w:val="24"/>
          <w:szCs w:val="24"/>
          <w:highlight w:val="none"/>
        </w:rPr>
        <w:t>2/3</w:t>
      </w:r>
      <w:r>
        <w:rPr>
          <w:rFonts w:hint="eastAsia" w:ascii="宋体" w:hAnsi="宋体" w:cs="宋体"/>
          <w:color w:val="auto"/>
          <w:sz w:val="24"/>
          <w:szCs w:val="24"/>
          <w:highlight w:val="none"/>
        </w:rPr>
        <w:t>。除本采购文件另有规定，评审专家将从政府采购评审专家库中随机抽取。</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 xml:space="preserve">.3 </w:t>
      </w:r>
      <w:r>
        <w:rPr>
          <w:rFonts w:hint="eastAsia" w:ascii="宋体" w:hAnsi="宋体" w:cs="宋体"/>
          <w:color w:val="auto"/>
          <w:kern w:val="44"/>
          <w:sz w:val="24"/>
          <w:szCs w:val="24"/>
          <w:highlight w:val="none"/>
        </w:rPr>
        <w:t>磋商小组</w:t>
      </w:r>
      <w:r>
        <w:rPr>
          <w:rFonts w:hint="eastAsia" w:ascii="宋体" w:hAnsi="宋体" w:cs="宋体"/>
          <w:color w:val="auto"/>
          <w:sz w:val="24"/>
          <w:szCs w:val="24"/>
          <w:highlight w:val="none"/>
        </w:rPr>
        <w:t>所有成员</w:t>
      </w:r>
      <w:r>
        <w:rPr>
          <w:rFonts w:hint="eastAsia" w:ascii="宋体" w:hAnsi="宋体" w:cs="宋体"/>
          <w:color w:val="auto"/>
          <w:kern w:val="44"/>
          <w:sz w:val="24"/>
          <w:szCs w:val="24"/>
          <w:highlight w:val="none"/>
        </w:rPr>
        <w:t>按事先确定的磋商顺序，</w:t>
      </w:r>
      <w:r>
        <w:rPr>
          <w:rFonts w:hint="eastAsia" w:ascii="宋体" w:hAnsi="宋体" w:cs="宋体"/>
          <w:color w:val="auto"/>
          <w:sz w:val="24"/>
          <w:szCs w:val="24"/>
          <w:highlight w:val="none"/>
        </w:rPr>
        <w:t>集中</w:t>
      </w:r>
      <w:r>
        <w:rPr>
          <w:rFonts w:hint="eastAsia" w:ascii="宋体" w:hAnsi="宋体" w:cs="宋体"/>
          <w:color w:val="auto"/>
          <w:kern w:val="44"/>
          <w:sz w:val="24"/>
          <w:szCs w:val="24"/>
          <w:highlight w:val="none"/>
        </w:rPr>
        <w:t>与</w:t>
      </w:r>
      <w:r>
        <w:rPr>
          <w:rFonts w:hint="eastAsia" w:ascii="宋体" w:hAnsi="宋体" w:cs="宋体"/>
          <w:color w:val="auto"/>
          <w:sz w:val="24"/>
          <w:szCs w:val="24"/>
          <w:highlight w:val="none"/>
        </w:rPr>
        <w:t>供应商分别进行磋商，并给予所有参加磋商的供应商平等的磋商机会。</w:t>
      </w:r>
    </w:p>
    <w:p>
      <w:pPr>
        <w:tabs>
          <w:tab w:val="left" w:pos="864"/>
          <w:tab w:val="left" w:pos="1080"/>
        </w:tabs>
        <w:spacing w:line="400" w:lineRule="exact"/>
        <w:outlineLvl w:val="1"/>
        <w:rPr>
          <w:rFonts w:ascii="宋体" w:cs="Times New Roman"/>
          <w:b/>
          <w:bCs/>
          <w:snapToGrid w:val="0"/>
          <w:color w:val="auto"/>
          <w:kern w:val="0"/>
          <w:sz w:val="24"/>
          <w:szCs w:val="24"/>
          <w:highlight w:val="none"/>
          <w:lang w:val="zh-CN"/>
        </w:rPr>
      </w:pPr>
      <w:bookmarkStart w:id="242" w:name="_Toc447024844"/>
      <w:bookmarkStart w:id="243" w:name="_Toc5648"/>
      <w:bookmarkStart w:id="244" w:name="_Toc31882"/>
      <w:bookmarkStart w:id="245" w:name="_Toc17375"/>
      <w:bookmarkStart w:id="246" w:name="_Toc446599903"/>
      <w:bookmarkStart w:id="247" w:name="_Toc23650"/>
      <w:bookmarkStart w:id="248" w:name="_Toc10314"/>
      <w:bookmarkStart w:id="249" w:name="_Toc4788"/>
      <w:bookmarkStart w:id="250" w:name="_Toc6821"/>
      <w:r>
        <w:rPr>
          <w:rFonts w:hint="eastAsia" w:cs="宋体"/>
          <w:b/>
          <w:bCs/>
          <w:color w:val="auto"/>
          <w:sz w:val="24"/>
          <w:szCs w:val="24"/>
          <w:highlight w:val="none"/>
        </w:rPr>
        <w:t>23、磋商代表</w:t>
      </w:r>
      <w:bookmarkEnd w:id="242"/>
      <w:bookmarkEnd w:id="243"/>
      <w:bookmarkEnd w:id="244"/>
      <w:bookmarkEnd w:id="245"/>
      <w:bookmarkEnd w:id="246"/>
      <w:bookmarkEnd w:id="247"/>
      <w:bookmarkEnd w:id="248"/>
      <w:bookmarkEnd w:id="249"/>
      <w:bookmarkEnd w:id="250"/>
    </w:p>
    <w:p>
      <w:pPr>
        <w:tabs>
          <w:tab w:val="left" w:pos="864"/>
          <w:tab w:val="left" w:pos="1080"/>
        </w:tabs>
        <w:spacing w:line="400" w:lineRule="exact"/>
        <w:outlineLvl w:val="1"/>
        <w:rPr>
          <w:rFonts w:ascii="宋体" w:cs="Times New Roman"/>
          <w:color w:val="auto"/>
          <w:sz w:val="24"/>
          <w:szCs w:val="24"/>
          <w:highlight w:val="none"/>
        </w:rPr>
      </w:pPr>
      <w:bookmarkStart w:id="251" w:name="_Toc30139"/>
      <w:bookmarkStart w:id="252" w:name="_Toc446599904"/>
      <w:bookmarkStart w:id="253" w:name="_Toc19652"/>
      <w:bookmarkStart w:id="254" w:name="_Toc447024845"/>
      <w:bookmarkStart w:id="255" w:name="_Toc18797"/>
      <w:bookmarkStart w:id="256" w:name="_Toc7387"/>
      <w:bookmarkStart w:id="257" w:name="_Toc10003"/>
      <w:bookmarkStart w:id="258" w:name="_Toc17609"/>
      <w:bookmarkStart w:id="259" w:name="_Toc9967"/>
      <w:r>
        <w:rPr>
          <w:rFonts w:hint="eastAsia" w:ascii="宋体" w:hAnsi="宋体" w:cs="宋体"/>
          <w:color w:val="auto"/>
          <w:sz w:val="24"/>
          <w:szCs w:val="24"/>
          <w:highlight w:val="none"/>
        </w:rPr>
        <w:t>23.1 供应商法定代表人或授权代表应携带本人身份证明参加磋商，授权代表参加磋商的，还应携带法定代表人授权书原件。磋商代表经磋商小组核对身份后，方可参加磋商。</w:t>
      </w:r>
      <w:bookmarkEnd w:id="251"/>
      <w:bookmarkEnd w:id="252"/>
      <w:bookmarkEnd w:id="253"/>
      <w:bookmarkEnd w:id="254"/>
      <w:bookmarkEnd w:id="255"/>
      <w:bookmarkEnd w:id="256"/>
      <w:bookmarkEnd w:id="257"/>
      <w:bookmarkEnd w:id="258"/>
      <w:bookmarkEnd w:id="259"/>
    </w:p>
    <w:p>
      <w:pPr>
        <w:tabs>
          <w:tab w:val="left" w:pos="540"/>
        </w:tabs>
        <w:spacing w:line="400" w:lineRule="exact"/>
        <w:rPr>
          <w:rFonts w:ascii="宋体" w:cs="Times New Roman"/>
          <w:b/>
          <w:bCs/>
          <w:color w:val="auto"/>
          <w:sz w:val="24"/>
          <w:szCs w:val="24"/>
          <w:highlight w:val="none"/>
        </w:rPr>
      </w:pPr>
      <w:r>
        <w:rPr>
          <w:rFonts w:hint="eastAsia" w:ascii="宋体" w:hAnsi="宋体" w:cs="宋体"/>
          <w:b/>
          <w:bCs/>
          <w:color w:val="auto"/>
          <w:sz w:val="24"/>
          <w:szCs w:val="24"/>
          <w:highlight w:val="none"/>
        </w:rPr>
        <w:t>24、资格审查和符合性审查</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24.1在正式磋商前，本磋商文件第四章规定的程序和方法，对供应商进行资格性审查和符合性审查，通过资格性审查和符合性审查，实质性响应磋商文件的供应商方可进入磋商程序。</w:t>
      </w:r>
    </w:p>
    <w:p>
      <w:pPr>
        <w:tabs>
          <w:tab w:val="left" w:pos="540"/>
        </w:tabs>
        <w:spacing w:line="400" w:lineRule="exact"/>
        <w:rPr>
          <w:rFonts w:ascii="宋体" w:cs="Times New Roman"/>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5、磋商</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25.1磋商小组将根据本磋商文件第四章规定的程序和方法与供应商进行磋商。在磋商中，磋商的任何一方不得透露与磋商有关的其他供应商的技术资料、价格和其他信息。</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25.2在磋商过程中，磋商小组可以根据磋商文件和磋商情况实质性变动采购需求中的技术、服务要求以及合同草案条款，但不得变动磋商文件中的其他内容。实质性变动的内容，须经采购人代表确认。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5.3在提交最后报价之前，供应商可以根据情况退出磋商。</w:t>
      </w:r>
    </w:p>
    <w:p>
      <w:pPr>
        <w:tabs>
          <w:tab w:val="left" w:pos="540"/>
        </w:tabs>
        <w:spacing w:line="400" w:lineRule="exac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.4</w:t>
      </w:r>
      <w:r>
        <w:rPr>
          <w:rFonts w:hint="eastAsia" w:ascii="宋体" w:hAnsi="宋体" w:cs="宋体"/>
          <w:color w:val="auto"/>
          <w:sz w:val="24"/>
          <w:szCs w:val="24"/>
          <w:highlight w:val="none"/>
        </w:rPr>
        <w:t>最后报价</w:t>
      </w:r>
    </w:p>
    <w:p>
      <w:pPr>
        <w:spacing w:line="400" w:lineRule="exact"/>
        <w:rPr>
          <w:rFonts w:ascii="宋体" w:cs="Times New Roman"/>
          <w:b/>
          <w:bCs/>
          <w:color w:val="auto"/>
          <w:sz w:val="24"/>
          <w:szCs w:val="24"/>
          <w:highlight w:val="none"/>
        </w:rPr>
      </w:pPr>
      <w:r>
        <w:rPr>
          <w:rFonts w:hint="eastAsia" w:ascii="宋体" w:hAnsi="宋体" w:cs="宋体"/>
          <w:color w:val="auto"/>
          <w:kern w:val="44"/>
          <w:sz w:val="24"/>
          <w:szCs w:val="24"/>
          <w:highlight w:val="none"/>
        </w:rPr>
        <w:t>采购代理机构将最后报价书发放至</w:t>
      </w:r>
      <w:r>
        <w:rPr>
          <w:rFonts w:hint="eastAsia" w:ascii="宋体" w:hAnsi="宋体" w:cs="宋体"/>
          <w:color w:val="auto"/>
          <w:sz w:val="24"/>
          <w:szCs w:val="24"/>
          <w:highlight w:val="none"/>
        </w:rPr>
        <w:t>所有通过了资格审查及符合性审查的供应商</w:t>
      </w:r>
      <w:r>
        <w:rPr>
          <w:rFonts w:hint="eastAsia" w:ascii="宋体" w:hAnsi="宋体" w:cs="宋体"/>
          <w:color w:val="auto"/>
          <w:kern w:val="44"/>
          <w:sz w:val="24"/>
          <w:szCs w:val="24"/>
          <w:highlight w:val="none"/>
        </w:rPr>
        <w:t>，要求供应商在指定的时间内提交满足要求的最后报价。所有供应商递交最后报价后，磋商小组将记录所有供应商的最终价格。</w:t>
      </w:r>
      <w:r>
        <w:rPr>
          <w:rFonts w:hint="eastAsia" w:ascii="宋体" w:hAnsi="宋体" w:cs="宋体"/>
          <w:color w:val="auto"/>
          <w:sz w:val="24"/>
          <w:szCs w:val="24"/>
          <w:highlight w:val="none"/>
        </w:rPr>
        <w:t>最后报价为本次竞争性磋商不可变动的最终价格。</w:t>
      </w:r>
      <w:r>
        <w:rPr>
          <w:rFonts w:hint="eastAsia" w:ascii="宋体" w:hAnsi="宋体" w:cs="宋体"/>
          <w:b/>
          <w:bCs/>
          <w:color w:val="auto"/>
          <w:sz w:val="24"/>
          <w:szCs w:val="24"/>
          <w:highlight w:val="none"/>
        </w:rPr>
        <w:t>最终报价不得超过首次报价，否则视为无效标。☆</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25.5磋商文件能够详细列明采购标的的技术、服务要求的，磋商结束后，磋商小组应当要求所有继续参加磋商的供应商在规定时间内提交最后报价，提交最后报价的供应商不得少于3家。采用竞争性磋商采购方式采购的政府购买服务项目(含政府和社会资本合作项目)，在采购过程中符合要求的供应商(社会资本) 只有2家的，竞争性磋商采购活动可以继续进行。</w:t>
      </w:r>
    </w:p>
    <w:p>
      <w:pPr>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25.6磋商文件不能详细列明采购标的的技术、服务要求，需经磋商由供应商提供最终设计方案或解决方案的，磋商结束后，磋商小组应当按照少数服从多数的原则投票推荐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sz w:val="24"/>
          <w:szCs w:val="24"/>
          <w:highlight w:val="none"/>
        </w:rPr>
        <w:t>3</w:t>
      </w:r>
      <w:r>
        <w:rPr>
          <w:rFonts w:hint="eastAsia" w:ascii="宋体" w:hAnsi="宋体" w:cs="宋体"/>
          <w:color w:val="auto"/>
          <w:sz w:val="24"/>
          <w:szCs w:val="24"/>
          <w:highlight w:val="none"/>
        </w:rPr>
        <w:t>家以上供应商的设计方案或者解决方案，并要求其在规定时间内提交最后报价。</w:t>
      </w:r>
      <w:r>
        <w:rPr>
          <w:rFonts w:hint="eastAsia" w:ascii="宋体" w:hAnsi="宋体" w:cs="宋体"/>
          <w:b/>
          <w:bCs/>
          <w:color w:val="auto"/>
          <w:sz w:val="24"/>
          <w:szCs w:val="24"/>
          <w:highlight w:val="none"/>
        </w:rPr>
        <w:t>合同有关单价等按成交供应商最终报价与磋商第一轮报价的变动比例作相应调整。</w:t>
      </w:r>
    </w:p>
    <w:p>
      <w:pPr>
        <w:spacing w:line="400" w:lineRule="exac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rPr>
        <w:t>7</w:t>
      </w:r>
      <w:r>
        <w:rPr>
          <w:rFonts w:hint="eastAsia" w:ascii="宋体" w:hAnsi="宋体" w:cs="宋体"/>
          <w:color w:val="auto"/>
          <w:kern w:val="44"/>
          <w:sz w:val="24"/>
          <w:szCs w:val="24"/>
          <w:highlight w:val="none"/>
        </w:rPr>
        <w:t>如有需要，磋商小组可进行多轮磋商，直至最终确定竞争性磋商采购文件采购需求中的技术、服务要求以及合同草案条款。如竞争性磋商采购文件无需修改，可直接要求供应商</w:t>
      </w:r>
      <w:r>
        <w:rPr>
          <w:rFonts w:hint="eastAsia" w:ascii="宋体" w:hAnsi="宋体" w:cs="宋体"/>
          <w:color w:val="auto"/>
          <w:sz w:val="24"/>
          <w:szCs w:val="24"/>
          <w:highlight w:val="none"/>
        </w:rPr>
        <w:t>提交最后报价</w:t>
      </w:r>
      <w:r>
        <w:rPr>
          <w:rFonts w:hint="eastAsia" w:ascii="宋体" w:hAnsi="宋体" w:cs="宋体"/>
          <w:color w:val="auto"/>
          <w:kern w:val="44"/>
          <w:sz w:val="24"/>
          <w:szCs w:val="24"/>
          <w:highlight w:val="none"/>
        </w:rPr>
        <w:t>。</w:t>
      </w:r>
    </w:p>
    <w:p>
      <w:pPr>
        <w:spacing w:line="400" w:lineRule="exact"/>
        <w:rPr>
          <w:rFonts w:ascii="宋体" w:cs="Times New Roman"/>
          <w:color w:val="auto"/>
          <w:kern w:val="44"/>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rPr>
        <w:t>8</w:t>
      </w:r>
      <w:r>
        <w:rPr>
          <w:rFonts w:hint="eastAsia" w:ascii="宋体" w:hAnsi="宋体" w:cs="宋体"/>
          <w:color w:val="auto"/>
          <w:kern w:val="44"/>
          <w:sz w:val="24"/>
          <w:szCs w:val="24"/>
          <w:highlight w:val="none"/>
        </w:rPr>
        <w:t>经磋商确定最终采购需求和提交最后报价的供应商后，由磋商小组采用综合评分法对提交最后报价的供应商的响应文件和最后报价进行综合评分。磋商小组应当根据综合评分情况推荐成交候选人或根据采购人的书面授权直接确定成交供应商并编写评审报告，评审报告应当由磋商小组全体人员签字认可。</w:t>
      </w:r>
    </w:p>
    <w:p>
      <w:pPr>
        <w:tabs>
          <w:tab w:val="left" w:pos="540"/>
        </w:tabs>
        <w:spacing w:line="400" w:lineRule="exact"/>
        <w:rPr>
          <w:rFonts w:ascii="宋体" w:cs="Times New Roman"/>
          <w:b/>
          <w:bCs/>
          <w:snapToGrid w:val="0"/>
          <w:color w:val="auto"/>
          <w:kern w:val="0"/>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6、</w:t>
      </w:r>
      <w:r>
        <w:rPr>
          <w:rFonts w:hint="eastAsia" w:ascii="宋体" w:hAnsi="宋体" w:cs="宋体"/>
          <w:b/>
          <w:bCs/>
          <w:snapToGrid w:val="0"/>
          <w:color w:val="auto"/>
          <w:kern w:val="0"/>
          <w:sz w:val="24"/>
          <w:szCs w:val="24"/>
          <w:highlight w:val="none"/>
          <w:lang w:val="zh-CN"/>
        </w:rPr>
        <w:t>保密</w:t>
      </w:r>
    </w:p>
    <w:p>
      <w:pPr>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ascii="宋体" w:hAnsi="宋体" w:cs="宋体"/>
          <w:snapToGrid w:val="0"/>
          <w:color w:val="auto"/>
          <w:kern w:val="0"/>
          <w:sz w:val="24"/>
          <w:szCs w:val="24"/>
          <w:highlight w:val="none"/>
          <w:lang w:val="zh-CN"/>
        </w:rPr>
        <w:t>2</w:t>
      </w:r>
      <w:r>
        <w:rPr>
          <w:rFonts w:hint="eastAsia" w:ascii="宋体" w:hAnsi="宋体" w:cs="宋体"/>
          <w:snapToGrid w:val="0"/>
          <w:color w:val="auto"/>
          <w:kern w:val="0"/>
          <w:sz w:val="24"/>
          <w:szCs w:val="24"/>
          <w:highlight w:val="none"/>
        </w:rPr>
        <w:t>6</w:t>
      </w:r>
      <w:r>
        <w:rPr>
          <w:rFonts w:ascii="宋体" w:hAnsi="宋体" w:cs="宋体"/>
          <w:snapToGrid w:val="0"/>
          <w:color w:val="auto"/>
          <w:kern w:val="0"/>
          <w:sz w:val="24"/>
          <w:szCs w:val="24"/>
          <w:highlight w:val="none"/>
          <w:lang w:val="zh-CN"/>
        </w:rPr>
        <w:t xml:space="preserve">.1 </w:t>
      </w:r>
      <w:r>
        <w:rPr>
          <w:rFonts w:hint="eastAsia" w:ascii="宋体" w:hAnsi="宋体" w:cs="宋体"/>
          <w:snapToGrid w:val="0"/>
          <w:color w:val="auto"/>
          <w:kern w:val="0"/>
          <w:sz w:val="24"/>
          <w:szCs w:val="24"/>
          <w:highlight w:val="none"/>
          <w:lang w:val="zh-CN"/>
        </w:rPr>
        <w:t>凡是属于审查、澄清、评价和比较的有关资料以及授标意向等，采购人、采购代理机构、监管人员、</w:t>
      </w:r>
      <w:r>
        <w:rPr>
          <w:rFonts w:hint="eastAsia" w:ascii="宋体" w:hAnsi="宋体" w:cs="宋体"/>
          <w:color w:val="auto"/>
          <w:kern w:val="44"/>
          <w:sz w:val="24"/>
          <w:szCs w:val="24"/>
          <w:highlight w:val="none"/>
        </w:rPr>
        <w:t>磋商小组</w:t>
      </w:r>
      <w:r>
        <w:rPr>
          <w:rFonts w:hint="eastAsia" w:ascii="宋体" w:hAnsi="宋体" w:cs="宋体"/>
          <w:snapToGrid w:val="0"/>
          <w:color w:val="auto"/>
          <w:kern w:val="0"/>
          <w:sz w:val="24"/>
          <w:szCs w:val="24"/>
          <w:highlight w:val="none"/>
          <w:lang w:val="zh-CN"/>
        </w:rPr>
        <w:t>及有关工作人员均不得向供应商或其它无关的人员透露。</w:t>
      </w:r>
    </w:p>
    <w:p>
      <w:pPr>
        <w:tabs>
          <w:tab w:val="left" w:pos="540"/>
        </w:tabs>
        <w:spacing w:line="400" w:lineRule="exact"/>
        <w:outlineLvl w:val="1"/>
        <w:rPr>
          <w:rFonts w:ascii="宋体" w:cs="Times New Roman"/>
          <w:b/>
          <w:bCs/>
          <w:color w:val="auto"/>
          <w:sz w:val="24"/>
          <w:szCs w:val="24"/>
          <w:highlight w:val="none"/>
        </w:rPr>
      </w:pPr>
      <w:bookmarkStart w:id="260" w:name="_Toc447024846"/>
      <w:bookmarkStart w:id="261" w:name="_Toc8340"/>
      <w:bookmarkStart w:id="262" w:name="_Toc5784"/>
      <w:bookmarkStart w:id="263" w:name="_Toc446599905"/>
      <w:bookmarkStart w:id="264" w:name="_Toc23986"/>
      <w:r>
        <w:rPr>
          <w:rFonts w:hint="eastAsia" w:ascii="宋体" w:hAnsi="宋体" w:cs="宋体"/>
          <w:b/>
          <w:bCs/>
          <w:color w:val="auto"/>
          <w:sz w:val="24"/>
          <w:szCs w:val="24"/>
          <w:highlight w:val="none"/>
        </w:rPr>
        <w:t>六、成交与签订合同</w:t>
      </w:r>
      <w:bookmarkEnd w:id="260"/>
      <w:bookmarkEnd w:id="261"/>
      <w:bookmarkEnd w:id="262"/>
      <w:bookmarkEnd w:id="263"/>
      <w:bookmarkEnd w:id="264"/>
    </w:p>
    <w:p>
      <w:pPr>
        <w:tabs>
          <w:tab w:val="left" w:pos="426"/>
        </w:tabs>
        <w:spacing w:line="400" w:lineRule="exact"/>
        <w:rPr>
          <w:rFonts w:ascii="宋体" w:cs="Times New Roman"/>
          <w:b/>
          <w:bCs/>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rPr>
        <w:t>27、</w:t>
      </w:r>
      <w:r>
        <w:rPr>
          <w:rFonts w:hint="eastAsia" w:ascii="宋体" w:hAnsi="宋体" w:cs="宋体"/>
          <w:b/>
          <w:bCs/>
          <w:snapToGrid w:val="0"/>
          <w:color w:val="auto"/>
          <w:kern w:val="0"/>
          <w:sz w:val="24"/>
          <w:szCs w:val="24"/>
          <w:highlight w:val="none"/>
          <w:lang w:val="zh-CN"/>
        </w:rPr>
        <w:t>合同授予标准</w:t>
      </w:r>
    </w:p>
    <w:p>
      <w:pPr>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ascii="宋体" w:hAnsi="宋体" w:cs="宋体"/>
          <w:snapToGrid w:val="0"/>
          <w:color w:val="auto"/>
          <w:kern w:val="0"/>
          <w:sz w:val="24"/>
          <w:szCs w:val="24"/>
          <w:highlight w:val="none"/>
          <w:lang w:val="zh-CN"/>
        </w:rPr>
        <w:t>2</w:t>
      </w:r>
      <w:r>
        <w:rPr>
          <w:rFonts w:hint="eastAsia" w:ascii="宋体" w:hAnsi="宋体" w:cs="宋体"/>
          <w:snapToGrid w:val="0"/>
          <w:color w:val="auto"/>
          <w:kern w:val="0"/>
          <w:sz w:val="24"/>
          <w:szCs w:val="24"/>
          <w:highlight w:val="none"/>
        </w:rPr>
        <w:t>7</w:t>
      </w:r>
      <w:r>
        <w:rPr>
          <w:rFonts w:ascii="宋体" w:hAnsi="宋体" w:cs="宋体"/>
          <w:snapToGrid w:val="0"/>
          <w:color w:val="auto"/>
          <w:kern w:val="0"/>
          <w:sz w:val="24"/>
          <w:szCs w:val="24"/>
          <w:highlight w:val="none"/>
          <w:lang w:val="zh-CN"/>
        </w:rPr>
        <w:t xml:space="preserve">.1 </w:t>
      </w:r>
      <w:r>
        <w:rPr>
          <w:rFonts w:hint="eastAsia" w:ascii="宋体" w:hAnsi="宋体" w:cs="宋体"/>
          <w:snapToGrid w:val="0"/>
          <w:color w:val="auto"/>
          <w:kern w:val="0"/>
          <w:sz w:val="24"/>
          <w:szCs w:val="24"/>
          <w:highlight w:val="none"/>
          <w:lang w:val="zh-CN"/>
        </w:rPr>
        <w:t>采购人将把合同授予排名第一的供应商，特殊情况按本须知</w:t>
      </w:r>
      <w:r>
        <w:rPr>
          <w:rFonts w:ascii="宋体" w:hAnsi="宋体" w:cs="宋体"/>
          <w:snapToGrid w:val="0"/>
          <w:color w:val="auto"/>
          <w:kern w:val="0"/>
          <w:sz w:val="24"/>
          <w:szCs w:val="24"/>
          <w:highlight w:val="none"/>
          <w:lang w:val="zh-CN"/>
        </w:rPr>
        <w:t>2</w:t>
      </w:r>
      <w:r>
        <w:rPr>
          <w:rFonts w:hint="eastAsia" w:ascii="宋体" w:hAnsi="宋体" w:cs="宋体"/>
          <w:snapToGrid w:val="0"/>
          <w:color w:val="auto"/>
          <w:kern w:val="0"/>
          <w:sz w:val="24"/>
          <w:szCs w:val="24"/>
          <w:highlight w:val="none"/>
        </w:rPr>
        <w:t>8</w:t>
      </w:r>
      <w:r>
        <w:rPr>
          <w:rFonts w:ascii="宋体" w:hAnsi="宋体" w:cs="宋体"/>
          <w:snapToGrid w:val="0"/>
          <w:color w:val="auto"/>
          <w:kern w:val="0"/>
          <w:sz w:val="24"/>
          <w:szCs w:val="24"/>
          <w:highlight w:val="none"/>
          <w:lang w:val="zh-CN"/>
        </w:rPr>
        <w:t>.3</w:t>
      </w:r>
      <w:r>
        <w:rPr>
          <w:rFonts w:hint="eastAsia" w:ascii="宋体" w:hAnsi="宋体" w:cs="宋体"/>
          <w:snapToGrid w:val="0"/>
          <w:color w:val="auto"/>
          <w:kern w:val="0"/>
          <w:sz w:val="24"/>
          <w:szCs w:val="24"/>
          <w:highlight w:val="none"/>
          <w:lang w:val="zh-CN"/>
        </w:rPr>
        <w:t>的规定执行。</w:t>
      </w:r>
    </w:p>
    <w:p>
      <w:pPr>
        <w:tabs>
          <w:tab w:val="left" w:pos="1080"/>
        </w:tabs>
        <w:spacing w:line="400" w:lineRule="exact"/>
        <w:rPr>
          <w:rFonts w:ascii="宋体" w:cs="Times New Roman"/>
          <w:b/>
          <w:bCs/>
          <w:snapToGrid w:val="0"/>
          <w:color w:val="auto"/>
          <w:kern w:val="0"/>
          <w:sz w:val="24"/>
          <w:szCs w:val="24"/>
          <w:highlight w:val="none"/>
          <w:lang w:val="zh-CN"/>
        </w:rPr>
      </w:pPr>
      <w:r>
        <w:rPr>
          <w:rFonts w:ascii="宋体" w:hAnsi="宋体" w:cs="宋体"/>
          <w:b/>
          <w:bCs/>
          <w:snapToGrid w:val="0"/>
          <w:color w:val="auto"/>
          <w:kern w:val="0"/>
          <w:sz w:val="24"/>
          <w:szCs w:val="24"/>
          <w:highlight w:val="none"/>
          <w:lang w:val="zh-CN"/>
        </w:rPr>
        <w:t>2</w:t>
      </w:r>
      <w:r>
        <w:rPr>
          <w:rFonts w:hint="eastAsia" w:ascii="宋体" w:hAnsi="宋体" w:cs="宋体"/>
          <w:b/>
          <w:bCs/>
          <w:snapToGrid w:val="0"/>
          <w:color w:val="auto"/>
          <w:kern w:val="0"/>
          <w:sz w:val="24"/>
          <w:szCs w:val="24"/>
          <w:highlight w:val="none"/>
        </w:rPr>
        <w:t>8</w:t>
      </w:r>
      <w:r>
        <w:rPr>
          <w:rFonts w:hint="eastAsia" w:ascii="宋体" w:hAnsi="宋体" w:cs="宋体"/>
          <w:b/>
          <w:bCs/>
          <w:snapToGrid w:val="0"/>
          <w:color w:val="auto"/>
          <w:kern w:val="0"/>
          <w:sz w:val="24"/>
          <w:szCs w:val="24"/>
          <w:highlight w:val="none"/>
          <w:lang w:val="zh-CN"/>
        </w:rPr>
        <w:t>、签订合同</w:t>
      </w:r>
    </w:p>
    <w:p>
      <w:pPr>
        <w:tabs>
          <w:tab w:val="left" w:pos="426"/>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ascii="宋体" w:hAnsi="宋体" w:cs="宋体"/>
          <w:snapToGrid w:val="0"/>
          <w:color w:val="auto"/>
          <w:kern w:val="0"/>
          <w:sz w:val="24"/>
          <w:szCs w:val="24"/>
          <w:highlight w:val="none"/>
          <w:lang w:val="zh-CN"/>
        </w:rPr>
        <w:t>2</w:t>
      </w:r>
      <w:r>
        <w:rPr>
          <w:rFonts w:hint="eastAsia" w:ascii="宋体" w:hAnsi="宋体" w:cs="宋体"/>
          <w:snapToGrid w:val="0"/>
          <w:color w:val="auto"/>
          <w:kern w:val="0"/>
          <w:sz w:val="24"/>
          <w:szCs w:val="24"/>
          <w:highlight w:val="none"/>
        </w:rPr>
        <w:t>8</w:t>
      </w:r>
      <w:r>
        <w:rPr>
          <w:rFonts w:ascii="宋体" w:hAnsi="宋体" w:cs="宋体"/>
          <w:snapToGrid w:val="0"/>
          <w:color w:val="auto"/>
          <w:kern w:val="0"/>
          <w:sz w:val="24"/>
          <w:szCs w:val="24"/>
          <w:highlight w:val="none"/>
          <w:lang w:val="zh-CN"/>
        </w:rPr>
        <w:t xml:space="preserve">.1 </w:t>
      </w:r>
      <w:r>
        <w:rPr>
          <w:rFonts w:hint="eastAsia" w:ascii="宋体" w:hAnsi="宋体" w:cs="宋体"/>
          <w:snapToGrid w:val="0"/>
          <w:color w:val="auto"/>
          <w:kern w:val="0"/>
          <w:sz w:val="24"/>
          <w:szCs w:val="24"/>
          <w:highlight w:val="none"/>
          <w:lang w:val="zh-CN"/>
        </w:rPr>
        <w:t>竞争性磋商采购文件对履约保证金有规定的，成交供应商应按规定在签订合同前缴纳履约保证金。</w:t>
      </w:r>
    </w:p>
    <w:p>
      <w:pPr>
        <w:tabs>
          <w:tab w:val="left" w:pos="426"/>
        </w:tabs>
        <w:autoSpaceDE w:val="0"/>
        <w:autoSpaceDN w:val="0"/>
        <w:adjustRightInd w:val="0"/>
        <w:spacing w:line="400" w:lineRule="exact"/>
        <w:jc w:val="left"/>
        <w:rPr>
          <w:rFonts w:ascii="宋体" w:cs="Times New Roman"/>
          <w:color w:val="auto"/>
          <w:sz w:val="24"/>
          <w:szCs w:val="24"/>
          <w:highlight w:val="none"/>
        </w:rPr>
      </w:pPr>
      <w:r>
        <w:rPr>
          <w:rFonts w:ascii="宋体" w:hAnsi="宋体" w:cs="宋体"/>
          <w:snapToGrid w:val="0"/>
          <w:color w:val="auto"/>
          <w:sz w:val="24"/>
          <w:szCs w:val="24"/>
          <w:highlight w:val="none"/>
          <w:lang w:val="zh-CN"/>
        </w:rPr>
        <w:t>2</w:t>
      </w:r>
      <w:r>
        <w:rPr>
          <w:rFonts w:hint="eastAsia" w:ascii="宋体" w:hAnsi="宋体" w:cs="宋体"/>
          <w:snapToGrid w:val="0"/>
          <w:color w:val="auto"/>
          <w:sz w:val="24"/>
          <w:szCs w:val="24"/>
          <w:highlight w:val="none"/>
        </w:rPr>
        <w:t>8</w:t>
      </w:r>
      <w:r>
        <w:rPr>
          <w:rFonts w:ascii="宋体" w:hAnsi="宋体" w:cs="宋体"/>
          <w:snapToGrid w:val="0"/>
          <w:color w:val="auto"/>
          <w:sz w:val="24"/>
          <w:szCs w:val="24"/>
          <w:highlight w:val="none"/>
          <w:lang w:val="zh-CN"/>
        </w:rPr>
        <w:t>.2</w:t>
      </w:r>
      <w:r>
        <w:rPr>
          <w:rFonts w:hint="eastAsia" w:ascii="宋体" w:hAnsi="宋体" w:cs="宋体"/>
          <w:color w:val="auto"/>
          <w:sz w:val="24"/>
          <w:szCs w:val="24"/>
          <w:highlight w:val="none"/>
        </w:rPr>
        <w:t>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成交供应商应在《成交通知书》发出之日起30天内与采购人签订政府采购合同。</w:t>
      </w:r>
    </w:p>
    <w:p>
      <w:pPr>
        <w:autoSpaceDE w:val="0"/>
        <w:autoSpaceDN w:val="0"/>
        <w:adjustRightInd w:val="0"/>
        <w:spacing w:line="400" w:lineRule="exact"/>
        <w:jc w:val="left"/>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8</w:t>
      </w:r>
      <w:r>
        <w:rPr>
          <w:rFonts w:ascii="宋体" w:hAnsi="宋体" w:cs="宋体"/>
          <w:color w:val="auto"/>
          <w:sz w:val="24"/>
          <w:szCs w:val="24"/>
          <w:highlight w:val="none"/>
        </w:rPr>
        <w:t xml:space="preserve">.3 </w:t>
      </w:r>
      <w:r>
        <w:rPr>
          <w:rFonts w:hint="eastAsia" w:ascii="宋体" w:hAnsi="宋体" w:cs="宋体"/>
          <w:color w:val="auto"/>
          <w:sz w:val="24"/>
          <w:szCs w:val="24"/>
          <w:highlight w:val="none"/>
          <w:lang w:val="zh-CN"/>
        </w:rPr>
        <w:t>成交供应商拒绝与采购人签订合同的，采购人可以按照评审报告推荐的中标候选人名单排序，确定下一候选人为成交供应商，也可以重新开展政府采购活动。</w:t>
      </w:r>
    </w:p>
    <w:p>
      <w:pPr>
        <w:tabs>
          <w:tab w:val="left" w:pos="540"/>
        </w:tabs>
        <w:autoSpaceDE w:val="0"/>
        <w:autoSpaceDN w:val="0"/>
        <w:adjustRightInd w:val="0"/>
        <w:spacing w:line="400" w:lineRule="exact"/>
        <w:jc w:val="left"/>
        <w:rPr>
          <w:rFonts w:ascii="宋体" w:cs="Times New Roman"/>
          <w:snapToGrid w:val="0"/>
          <w:color w:val="auto"/>
          <w:kern w:val="0"/>
          <w:sz w:val="24"/>
          <w:szCs w:val="24"/>
          <w:highlight w:val="none"/>
          <w:lang w:val="zh-CN"/>
        </w:rPr>
      </w:pPr>
      <w:r>
        <w:rPr>
          <w:rFonts w:ascii="宋体" w:hAnsi="宋体" w:cs="宋体"/>
          <w:snapToGrid w:val="0"/>
          <w:color w:val="auto"/>
          <w:sz w:val="24"/>
          <w:szCs w:val="24"/>
          <w:highlight w:val="none"/>
          <w:lang w:val="zh-CN"/>
        </w:rPr>
        <w:t>2</w:t>
      </w:r>
      <w:r>
        <w:rPr>
          <w:rFonts w:hint="eastAsia" w:ascii="宋体" w:hAnsi="宋体" w:cs="宋体"/>
          <w:snapToGrid w:val="0"/>
          <w:color w:val="auto"/>
          <w:sz w:val="24"/>
          <w:szCs w:val="24"/>
          <w:highlight w:val="none"/>
        </w:rPr>
        <w:t>8</w:t>
      </w:r>
      <w:r>
        <w:rPr>
          <w:rFonts w:ascii="宋体" w:hAnsi="宋体" w:cs="宋体"/>
          <w:snapToGrid w:val="0"/>
          <w:color w:val="auto"/>
          <w:sz w:val="24"/>
          <w:szCs w:val="24"/>
          <w:highlight w:val="none"/>
          <w:lang w:val="zh-CN"/>
        </w:rPr>
        <w:t>.4</w:t>
      </w:r>
      <w:r>
        <w:rPr>
          <w:rFonts w:hint="eastAsia" w:ascii="宋体" w:hAnsi="宋体" w:cs="宋体"/>
          <w:snapToGrid w:val="0"/>
          <w:color w:val="auto"/>
          <w:sz w:val="24"/>
          <w:szCs w:val="24"/>
          <w:highlight w:val="none"/>
          <w:lang w:val="zh-CN"/>
        </w:rPr>
        <w:t>除</w:t>
      </w:r>
      <w:r>
        <w:rPr>
          <w:rFonts w:hint="eastAsia" w:cs="宋体"/>
          <w:snapToGrid w:val="0"/>
          <w:color w:val="auto"/>
          <w:sz w:val="24"/>
          <w:szCs w:val="24"/>
          <w:highlight w:val="none"/>
          <w:lang w:val="zh-CN"/>
        </w:rPr>
        <w:t>不可抗力等因素外，成交通知书发出后，采购人改变成交结果，或者成交供应商拒绝签订政府采购合同的，应当承担相应的法律责任。</w:t>
      </w:r>
    </w:p>
    <w:p>
      <w:pPr>
        <w:autoSpaceDE w:val="0"/>
        <w:autoSpaceDN w:val="0"/>
        <w:adjustRightInd w:val="0"/>
        <w:spacing w:line="400" w:lineRule="exact"/>
        <w:jc w:val="left"/>
        <w:rPr>
          <w:rFonts w:cs="Times New Roman"/>
          <w:color w:val="auto"/>
          <w:sz w:val="24"/>
          <w:szCs w:val="24"/>
          <w:highlight w:val="none"/>
        </w:rPr>
      </w:pPr>
      <w:r>
        <w:rPr>
          <w:rFonts w:hint="eastAsia" w:ascii="宋体" w:hAnsi="宋体" w:cs="宋体"/>
          <w:snapToGrid w:val="0"/>
          <w:color w:val="auto"/>
          <w:sz w:val="24"/>
          <w:szCs w:val="24"/>
          <w:highlight w:val="none"/>
        </w:rPr>
        <w:t>28.5</w:t>
      </w:r>
      <w:r>
        <w:rPr>
          <w:rFonts w:hint="eastAsia" w:cs="宋体"/>
          <w:color w:val="auto"/>
          <w:sz w:val="24"/>
          <w:szCs w:val="24"/>
          <w:highlight w:val="none"/>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tabs>
          <w:tab w:val="left" w:pos="540"/>
        </w:tabs>
        <w:spacing w:line="400" w:lineRule="exact"/>
        <w:outlineLvl w:val="1"/>
        <w:rPr>
          <w:rFonts w:ascii="宋体" w:cs="Times New Roman"/>
          <w:b/>
          <w:bCs/>
          <w:color w:val="auto"/>
          <w:sz w:val="24"/>
          <w:szCs w:val="24"/>
          <w:highlight w:val="none"/>
        </w:rPr>
      </w:pPr>
      <w:bookmarkStart w:id="265" w:name="_Toc9157"/>
      <w:bookmarkStart w:id="266" w:name="_Toc447024847"/>
      <w:bookmarkStart w:id="267" w:name="_Toc17029"/>
      <w:r>
        <w:rPr>
          <w:rFonts w:hint="eastAsia" w:ascii="宋体" w:hAnsi="宋体" w:cs="宋体"/>
          <w:b/>
          <w:bCs/>
          <w:color w:val="auto"/>
          <w:sz w:val="24"/>
          <w:szCs w:val="24"/>
          <w:highlight w:val="none"/>
        </w:rPr>
        <w:t>七、公告、质疑</w:t>
      </w:r>
      <w:bookmarkEnd w:id="265"/>
      <w:bookmarkEnd w:id="266"/>
      <w:bookmarkEnd w:id="267"/>
    </w:p>
    <w:p>
      <w:pPr>
        <w:autoSpaceDE w:val="0"/>
        <w:autoSpaceDN w:val="0"/>
        <w:spacing w:line="400" w:lineRule="exact"/>
        <w:jc w:val="left"/>
        <w:rPr>
          <w:rFonts w:ascii="宋体" w:cs="Times New Roman"/>
          <w:color w:val="auto"/>
          <w:kern w:val="0"/>
          <w:sz w:val="24"/>
          <w:szCs w:val="24"/>
          <w:highlight w:val="none"/>
        </w:rPr>
      </w:pPr>
      <w:r>
        <w:rPr>
          <w:rFonts w:hint="eastAsia" w:ascii="宋体" w:hAnsi="宋体" w:cs="宋体"/>
          <w:b/>
          <w:bCs/>
          <w:color w:val="auto"/>
          <w:kern w:val="0"/>
          <w:sz w:val="24"/>
          <w:szCs w:val="24"/>
          <w:highlight w:val="none"/>
        </w:rPr>
        <w:t>29、</w:t>
      </w:r>
      <w:r>
        <w:rPr>
          <w:rFonts w:hint="eastAsia" w:ascii="宋体" w:hAnsi="宋体" w:cs="宋体"/>
          <w:color w:val="auto"/>
          <w:kern w:val="0"/>
          <w:sz w:val="24"/>
          <w:szCs w:val="24"/>
          <w:highlight w:val="none"/>
        </w:rPr>
        <w:t>采购代理机构将在政府采购监管部门指定媒体上发布磋商公告、通知、磋商结果公告等磋商程序中所有信息，成交结果公告期为</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个工作日。</w:t>
      </w:r>
    </w:p>
    <w:p>
      <w:pPr>
        <w:autoSpaceDE w:val="0"/>
        <w:autoSpaceDN w:val="0"/>
        <w:spacing w:line="360" w:lineRule="auto"/>
        <w:jc w:val="center"/>
        <w:rPr>
          <w:rStyle w:val="28"/>
          <w:color w:val="auto"/>
          <w:highlight w:val="none"/>
        </w:rPr>
      </w:pPr>
      <w:r>
        <w:rPr>
          <w:rFonts w:hint="eastAsia" w:ascii="宋体" w:hAnsi="宋体" w:cs="宋体"/>
          <w:b/>
          <w:bCs/>
          <w:color w:val="auto"/>
          <w:kern w:val="0"/>
          <w:sz w:val="24"/>
          <w:szCs w:val="24"/>
          <w:highlight w:val="none"/>
        </w:rPr>
        <w:t>30、</w:t>
      </w:r>
      <w:r>
        <w:rPr>
          <w:rFonts w:hint="eastAsia" w:ascii="宋体" w:hAnsi="宋体" w:cs="宋体"/>
          <w:color w:val="auto"/>
          <w:kern w:val="0"/>
          <w:sz w:val="24"/>
          <w:szCs w:val="24"/>
          <w:highlight w:val="none"/>
        </w:rPr>
        <w:t>如果供应商对此次采购活动有疑问，可依据《政府采购法》等相关规定，向采购代理机构提出质疑。按照中华人民共和国财政部令第94号，以书面形式提交质疑文件。</w:t>
      </w:r>
      <w:r>
        <w:rPr>
          <w:rFonts w:ascii="宋体" w:cs="Times New Roman"/>
          <w:color w:val="auto"/>
          <w:highlight w:val="none"/>
        </w:rPr>
        <w:br w:type="page"/>
      </w:r>
      <w:bookmarkStart w:id="268" w:name="_Toc29027"/>
      <w:bookmarkStart w:id="269" w:name="_Toc11031"/>
      <w:bookmarkStart w:id="270" w:name="_Toc7318"/>
    </w:p>
    <w:p>
      <w:pPr>
        <w:pStyle w:val="5"/>
        <w:outlineLvl w:val="0"/>
        <w:rPr>
          <w:rStyle w:val="28"/>
          <w:b w:val="0"/>
          <w:color w:val="auto"/>
          <w:highlight w:val="none"/>
        </w:rPr>
      </w:pPr>
      <w:bookmarkStart w:id="271" w:name="_Toc8007"/>
      <w:bookmarkStart w:id="272" w:name="_Toc14430"/>
      <w:bookmarkStart w:id="273" w:name="_Toc4962"/>
      <w:bookmarkStart w:id="274" w:name="_Toc14163_WPSOffice_Level1"/>
      <w:bookmarkStart w:id="275" w:name="_Toc3785"/>
      <w:bookmarkStart w:id="276" w:name="_Toc12339"/>
      <w:r>
        <w:rPr>
          <w:rStyle w:val="28"/>
          <w:rFonts w:hint="eastAsia"/>
          <w:b w:val="0"/>
          <w:color w:val="auto"/>
          <w:highlight w:val="none"/>
        </w:rPr>
        <w:t>第三章  采购内容及要求</w:t>
      </w:r>
      <w:bookmarkEnd w:id="271"/>
      <w:bookmarkEnd w:id="272"/>
      <w:bookmarkEnd w:id="273"/>
      <w:bookmarkEnd w:id="274"/>
      <w:bookmarkEnd w:id="275"/>
      <w:bookmarkEnd w:id="276"/>
      <w:bookmarkStart w:id="277" w:name="_Toc14725"/>
      <w:bookmarkStart w:id="278" w:name="_Toc25507"/>
      <w:bookmarkStart w:id="279" w:name="_Toc21984"/>
      <w:bookmarkStart w:id="280" w:name="_Toc7141"/>
      <w:bookmarkStart w:id="281" w:name="_Toc24157"/>
      <w:bookmarkStart w:id="282" w:name="_Toc5058"/>
      <w:bookmarkStart w:id="283" w:name="_Toc20071"/>
      <w:bookmarkStart w:id="284" w:name="_Toc30301_WPSOffice_Level1"/>
      <w:bookmarkStart w:id="285" w:name="_Toc14863"/>
    </w:p>
    <w:p>
      <w:pPr>
        <w:autoSpaceDE w:val="0"/>
        <w:autoSpaceDN w:val="0"/>
        <w:spacing w:line="460" w:lineRule="exact"/>
        <w:jc w:val="left"/>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eastAsia="zh-CN"/>
        </w:rPr>
        <w:t>项目概况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高创园区屋顶分布式光伏发电项目监理服务</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项目规模：拟建设高创园区屋顶分布式光伏面积约340000㎡，规划装机容量共为45MWp；采用自发自用、余电上网模式，年平均发电约3971.29 万度。激光产业园、装配制造产业园、可功产业园、福达曲轴产业园拟新建、西川密封件产业园、高创制造产业园新建 9 座峰值输送功率 39980kWp 的开关站及按建设规模要求的 10kV 配电装置；相应的电气控制、测量、信号、继电保护、安全自动装置；交直流站用电系统、防雷接地、动力照明及电缆敷设，与上述内容对应的土建部分：10kV 预制舱，10kV 箱式变电站等。</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运来产业园、阿兴产业园、华夏星光产业园新建 8 个峰值输送功率 2800kWp的开关柜及按建设规模要求的 0.4kV 配电装置；相应的电气控制、测量、信号、继电保护、安全自动装置；防雷接地、电缆敷设，与上述内容对应的土建部分等。</w:t>
      </w:r>
    </w:p>
    <w:p>
      <w:pPr>
        <w:widowControl/>
        <w:spacing w:line="46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服务期限：</w:t>
      </w:r>
      <w:r>
        <w:rPr>
          <w:rFonts w:hint="eastAsia" w:ascii="宋体" w:hAnsi="宋体" w:cs="宋体"/>
          <w:color w:val="auto"/>
          <w:sz w:val="24"/>
          <w:szCs w:val="24"/>
          <w:highlight w:val="none"/>
          <w:lang w:val="en-US" w:eastAsia="zh-CN"/>
        </w:rPr>
        <w:t>120日历天</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采购内容及要求：</w:t>
      </w:r>
      <w:r>
        <w:rPr>
          <w:rFonts w:hint="eastAsia" w:ascii="宋体" w:hAnsi="宋体" w:cs="宋体"/>
          <w:color w:val="auto"/>
          <w:sz w:val="24"/>
          <w:szCs w:val="24"/>
          <w:highlight w:val="none"/>
          <w:lang w:val="en-US" w:eastAsia="zh-CN"/>
        </w:rPr>
        <w:t>高创园区屋顶分布式光伏发电项目监理服务施工准备阶段、施工阶段、交工验收及缺陷责任期全过程监理（具体以监理合同约定的内容为准）</w:t>
      </w:r>
    </w:p>
    <w:p>
      <w:pPr>
        <w:numPr>
          <w:ilvl w:val="0"/>
          <w:numId w:val="0"/>
        </w:numPr>
        <w:spacing w:line="360" w:lineRule="auto"/>
        <w:outlineLvl w:val="1"/>
        <w:rPr>
          <w:rFonts w:hint="eastAsia"/>
          <w:color w:val="auto"/>
          <w:highlight w:val="none"/>
          <w:lang w:eastAsia="zh-CN"/>
        </w:rPr>
      </w:pPr>
      <w:r>
        <w:rPr>
          <w:rFonts w:hint="eastAsia" w:ascii="Times New Roman" w:cs="Times New Roman"/>
          <w:b/>
          <w:color w:val="auto"/>
          <w:sz w:val="24"/>
          <w:szCs w:val="24"/>
          <w:highlight w:val="none"/>
          <w:lang w:eastAsia="zh-CN"/>
        </w:rPr>
        <w:t>二、服务要求：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一)监理服务内容及要求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监理人应在(项目) 内开展监理工作， 本监理项目服务内容包括 但不限于以下内容：</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1.项目实施准备阶段：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 协助采购人与建设方签订合同；对合同进行评估，给出第三方评估意见；</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对建设方的交付建设方案、交付组织设计、交付进度计划 进行评审和备案；</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(3)对建设方的实施工作准备情况进行监督、审核；</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(4)根据本项目是实际情况， 制订本项目的监理检核明细表； </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2.项目实施阶段：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 按照工程监理检核要素(质量、投资、进度、安全生产、信息安全等)完成对工程各个技术环节的现场检核与旁站；</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对本项目所使用的材料和设备进行检验及测试；本项目中所使用到的检测仪器需通过了质量检验机构的校准和验证。</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 对本项目全部交付物进行综合测试和验证，以检验是否达到设计与建设合同要求；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(4)协助确认项目中的变更事项；</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 记录本项目过程中的重要会议、决议等，以周报的形式对项目整个建设过程进行如实描述；</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(6)审查并跟踪建设方的项目文档；</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(7)组织召开项目协调会，进行项目中的沟通和协调工作；</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3.项目试运行及试点推广阶段：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(1)监督/记录系统的调试、试运行、培训、推广情况；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(2)收集整理用户反映的问题，并督促有关单位解决；</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对试运行期系统进行检测，如有问题应责成有关单位解决。 </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4.项目验收阶段：</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 监督建设方按计划进行相关培训；敦促建设方达成培训工作长效性的要求；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(2)审查并确认建设方提交的项目文档；</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及时向采购人提交反映项目动态和监理工作情况的项目文档；建立全面、准确反映项目各阶段工程状况的图表、文档，收集、管理项 目各类文档和资料； 督促、检查实施方及时完成各阶段设备资料、工程技术资料的整理和归档工作；</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 协助采购人处理项目建设过程出现的违约、索赔、延期、 分项、纠纷调解及仲裁等问题。</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(4)协助用户组织项目验收， 并提交项目验收报告。</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转发采购人发出的一切指示、通知和业务联系单；采用图表、统 计技术或其他先进的管理方法，定期公布项目质量、进度、成本数据， 就项目中存在或出现的问题向采购人、设计单位提出独立、公正、公平的意见建议或解决方案； 当系统建设出现质量问题或严重偏离计划时， 应及时向采购人报告，并提出对策建议，同时督促建设方尽快采 取措施;本项目竣工后向采购人提供 3 套竣工资料和与其内容相同的电子版 1 套。</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5.组织协调</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(1)确定建设方、设计单位等之间的工作范围和职责；</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(2)监督各方履行职责，协调各方的工作关系；</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 建立畅通的沟通平台和沟通渠道，采取有效措施使项目信</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息在有关各方之间保持顺畅流通，积极协调项目各方之间的关系，推动项目实施过程中问题的解决。</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6.交付安全管理</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安全生产管理目标：省级安全优良交付现场。</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(1)检查督促建设方建立、完善安全生产制度；</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(2)组织工程安全事故的调查与处理；</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负责项目建设交付过程中安全控制，确保不出现安全事故。 </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7.知识产权的管理</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负责项目建设交付过程中所产生成果的知识产权保护， 保证不被非授权单位使用。</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8.项目会议制度</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为保证监理工作的开展和实施协调， 监理方可组织必要的会议：</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(1)项目协调会；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(2)项目周例会；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(3)项目专题研讨会；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(4)项目问题通报会；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(5)项目阶段及最终验收会。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(6)项目专家论证评审会；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(7)项目阶段工作总结会。</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(四)监理主要职责</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1.组建工程监理机构。监理机构由总监理工程师、监理工程师和 其他专业技术人员组成。监理队伍人员配置应专业对口、且专业配置 齐全。监理人员应能常驻现场、认真负责、秉公办事、廉洁自律。</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2.服务方式：要求有固定的工作场所和必要的办公、通讯条件、 软硬件设备和交通工具，保证能正常地开展监理服务工作。</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3.在进行收集整理、现场部署实施、试运行过程中， 监理工程师 必须详细做好监理旁站日记(及现场服务工作日记) ，保证项目实施 符合国家规范和相关合同要求，定期向采购人提供含有质量及项目进 度等内容的监理工作报告。</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4.供应商派驻的监理工程师必须随时为采购人提供服务。</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5.总监理工程师、总监理工程师代表和本项目监理机构在实施期 间不得更换。若因不可抗力因素，中标人确需更换监理人员， 新更换 的监理人员必须与投标时所承诺的专业、资格等级、技术职称等内容 一致或高于原资格条件； 同时要求至少提前 7 天以书面形式通知采购人，并将拟更换的监理人员个人资料一并上报，经采购人面试合格、书面同意后方可更换。</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6.有明确的监理服务承诺及惩罚措施。</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7.合同签订后， 监理机构应立即进入项目现场， 协助采购人开展 设计深化、工程招标、技术要求、费用预算及费用控制、实施计划、 实施组织等工作。</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8.对现场监理人员的要求：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 相关监理人员必须取得监理上岗证， 要求专业对口，业务 熟悉， 严格按规范精心监理， 认真执行有关监理法规和监理工程师准 则。</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能吃苦耐劳， 认真负责， 秉公办事，廉洁自律，随叫随到。</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 要求交付中，每道工序都做交付记载， 详细做好监理日记， 达到并符合软件交付规范要求。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 监理人应组建满足工作需要的项目监理机构， 配备必要的 专业技术检测设备。项目监理机构的主要人员应具有相应的资格条 件。</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 合同履行过程中，总监理工程师及重要岗位监理人员应保 持相对稳定，以保证监理工作正常进行。</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(6)监理人可根据工程进展和工作需要调整项目监理机构人员。 监理人更换总监理工程师时， 应提前 7 天向委托人书面报告， 经委托 人同意后方可更换； 监理人更换项目监理机构其他监理人员， 应以相 当资格与能力的人员替换，并通知委托人。</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(7)监理人应及时更换有下列情形之一的监理人员：</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(a)严重过失行为的；</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(b)有违法行为不能履行职责的；</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(c)涉嫌犯罪的；</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(d)不能胜任岗位职责的；</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(e)严重违反职业道德的；</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(f)专用条件约定的其他情形。</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委托人可要求监理人更换不能胜任本职工作的项目监理人员。</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(五)监理机构及人员资质要求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监理机构及人员的要求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本项目监理服务项目的中标单位应组建项目监理组，该监理组必须满足以下要求：</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实行总监理工程师负责制，对项目重大决策提出建议和意见，拟派总监理工程师须具备房屋建筑工程专业注册监理工程师注册执业证书，在本单位注册，且已承担总监理工程师工作的在监项目不超过2项，并具有5年以上从事房屋建筑工程监理工作的经历。</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2、项目监理要求以驻场监理为主要方式进行。</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★3、投标单位必须成立监理项目组，至少有2名及以上具备房屋建筑工程或电力工程专业监理工程师资质的人员，1名及以上具备房屋建筑工程监理员资质的人员，监理队伍人员配置应专业对口、且专业配置齐全。</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4、服务方式：要求中标人以驻交付现场监理为主要方式进行。</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5、项目实施过程中，监理工程师须详细做好监理旁站日记和监 理日记， 使之符合国家规范和承建方合同的要求， 每月25日向招标 人提供含有质量及项目进度等内容的监理月报。</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(七)监理服务周期</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监理服务周期自合同双方约定之日(即服务起始日， 由双方签字确认生效)起至通过验收结束为止。</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(八)监理报价</w:t>
      </w:r>
    </w:p>
    <w:p>
      <w:pPr>
        <w:widowControl/>
        <w:spacing w:line="4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监理费报价必须包含各项目监理而产生的所有费用，包括实施项目的交通费用、住宿费用等， 经确定的最终监理费用包含组织各项目评估产生的专家费、会议费、监理工作人员工资、差旅费、福利及税费、工程建设延期带来的相关费用以及合同执行过程中产生的不可预见费等各项费用。监理酬金按总价包干计取，不因工期变化与其他因素，变更监理酬金总价。</w:t>
      </w:r>
    </w:p>
    <w:p>
      <w:pPr>
        <w:spacing w:line="219" w:lineRule="auto"/>
        <w:outlineLvl w:val="1"/>
        <w:rPr>
          <w:rFonts w:ascii="黑体" w:hAnsi="黑体" w:eastAsia="黑体" w:cs="黑体"/>
          <w:color w:val="auto"/>
          <w:sz w:val="32"/>
          <w:szCs w:val="32"/>
          <w:highlight w:val="none"/>
        </w:rPr>
      </w:pPr>
      <w:r>
        <w:rPr>
          <w:rStyle w:val="28"/>
          <w:rFonts w:hint="eastAsia"/>
          <w:b w:val="0"/>
          <w:color w:val="auto"/>
          <w:highlight w:val="none"/>
        </w:rPr>
        <w:br w:type="page"/>
      </w:r>
      <w:r>
        <w:rPr>
          <w:rFonts w:ascii="黑体" w:hAnsi="黑体" w:eastAsia="黑体" w:cs="黑体"/>
          <w:color w:val="auto"/>
          <w:spacing w:val="-3"/>
          <w:sz w:val="32"/>
          <w:szCs w:val="32"/>
          <w:highlight w:val="none"/>
        </w:rPr>
        <w:t>六、商务要</w:t>
      </w:r>
      <w:r>
        <w:rPr>
          <w:rFonts w:ascii="黑体" w:hAnsi="黑体" w:eastAsia="黑体" w:cs="黑体"/>
          <w:color w:val="auto"/>
          <w:spacing w:val="-2"/>
          <w:sz w:val="32"/>
          <w:szCs w:val="32"/>
          <w:highlight w:val="none"/>
        </w:rPr>
        <w:t>求</w:t>
      </w:r>
    </w:p>
    <w:p>
      <w:pPr>
        <w:spacing w:before="232" w:line="220" w:lineRule="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说明：</w:t>
      </w:r>
      <w:r>
        <w:rPr>
          <w:rFonts w:ascii="宋体" w:hAnsi="宋体" w:eastAsia="宋体" w:cs="宋体"/>
          <w:color w:val="auto"/>
          <w:spacing w:val="-6"/>
          <w:sz w:val="24"/>
          <w:szCs w:val="24"/>
          <w:highlight w:val="none"/>
        </w:rPr>
        <w:t xml:space="preserve"> </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6"/>
          <w:sz w:val="24"/>
          <w:szCs w:val="24"/>
          <w:highlight w:val="none"/>
        </w:rPr>
        <w:t xml:space="preserve"> </w:t>
      </w:r>
      <w:r>
        <w:rPr>
          <w:rFonts w:ascii="宋体" w:hAnsi="宋体" w:eastAsia="宋体" w:cs="宋体"/>
          <w:color w:val="auto"/>
          <w:spacing w:val="-4"/>
          <w:sz w:val="24"/>
          <w:szCs w:val="24"/>
          <w:highlight w:val="none"/>
        </w:rPr>
        <w:t>在</w:t>
      </w:r>
      <w:r>
        <w:rPr>
          <w:rFonts w:ascii="宋体" w:hAnsi="宋体" w:eastAsia="宋体" w:cs="宋体"/>
          <w:color w:val="auto"/>
          <w:spacing w:val="-3"/>
          <w:sz w:val="24"/>
          <w:szCs w:val="24"/>
          <w:highlight w:val="none"/>
        </w:rPr>
        <w:t>下表中★项不响应或出现负偏离视为</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无效投标处理</w:t>
      </w:r>
      <w:r>
        <w:rPr>
          <w:rFonts w:ascii="宋体" w:hAnsi="宋体" w:eastAsia="宋体" w:cs="宋体"/>
          <w:color w:val="auto"/>
          <w:spacing w:val="-3"/>
          <w:sz w:val="24"/>
          <w:szCs w:val="24"/>
          <w:highlight w:val="none"/>
        </w:rPr>
        <w:t>。</w:t>
      </w:r>
    </w:p>
    <w:p>
      <w:pPr>
        <w:spacing w:before="180" w:line="471" w:lineRule="exact"/>
        <w:ind w:left="736"/>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position w:val="17"/>
          <w:sz w:val="24"/>
          <w:szCs w:val="24"/>
          <w:highlight w:val="none"/>
        </w:rPr>
        <w:t xml:space="preserve"> 在下表中标注</w:t>
      </w:r>
      <w:r>
        <w:rPr>
          <w:rFonts w:ascii="宋体" w:hAnsi="宋体" w:eastAsia="宋体" w:cs="宋体"/>
          <w:color w:val="auto"/>
          <w:spacing w:val="-3"/>
          <w:position w:val="17"/>
          <w:sz w:val="24"/>
          <w:szCs w:val="24"/>
          <w:highlight w:val="none"/>
        </w:rPr>
        <w:t>有</w:t>
      </w:r>
      <w:r>
        <w:rPr>
          <w:rFonts w:ascii="宋体" w:hAnsi="宋体" w:eastAsia="宋体" w:cs="宋体"/>
          <w:color w:val="auto"/>
          <w:spacing w:val="-2"/>
          <w:position w:val="17"/>
          <w:sz w:val="24"/>
          <w:szCs w:val="24"/>
          <w:highlight w:val="none"/>
        </w:rPr>
        <w:t xml:space="preserve">“△”号的条款， 作为 </w:t>
      </w:r>
      <w:r>
        <w:rPr>
          <w:rFonts w:ascii="仿宋" w:hAnsi="仿宋" w:eastAsia="仿宋" w:cs="仿宋"/>
          <w:color w:val="auto"/>
          <w:spacing w:val="-2"/>
          <w:position w:val="1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position w:val="17"/>
          <w:sz w:val="24"/>
          <w:szCs w:val="24"/>
          <w:highlight w:val="none"/>
          <w14:textOutline w14:w="4354" w14:cap="flat" w14:cmpd="sng">
            <w14:solidFill>
              <w14:srgbClr w14:val="000000"/>
            </w14:solidFill>
            <w14:prstDash w14:val="solid"/>
            <w14:miter w14:val="0"/>
          </w14:textOutline>
        </w:rPr>
        <w:t>评审因素及评分标准</w:t>
      </w:r>
      <w:r>
        <w:rPr>
          <w:rFonts w:ascii="仿宋" w:hAnsi="仿宋" w:eastAsia="仿宋" w:cs="仿宋"/>
          <w:color w:val="auto"/>
          <w:spacing w:val="-2"/>
          <w:position w:val="1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position w:val="17"/>
          <w:sz w:val="24"/>
          <w:szCs w:val="24"/>
          <w:highlight w:val="none"/>
        </w:rPr>
        <w:t>中的</w:t>
      </w:r>
    </w:p>
    <w:p>
      <w:pPr>
        <w:spacing w:line="219" w:lineRule="auto"/>
        <w:ind w:left="24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评分内容。</w:t>
      </w:r>
    </w:p>
    <w:p>
      <w:pPr>
        <w:spacing w:line="146" w:lineRule="exact"/>
        <w:rPr>
          <w:color w:val="auto"/>
          <w:highlight w:val="none"/>
        </w:rPr>
      </w:pPr>
    </w:p>
    <w:tbl>
      <w:tblPr>
        <w:tblStyle w:val="41"/>
        <w:tblW w:w="87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269"/>
        <w:gridCol w:w="5798"/>
        <w:gridCol w:w="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23" w:type="dxa"/>
            <w:tcBorders>
              <w:left w:val="single" w:color="000000" w:sz="10" w:space="0"/>
            </w:tcBorders>
            <w:shd w:val="clear" w:color="auto" w:fill="D8D8D8"/>
            <w:vAlign w:val="top"/>
          </w:tcPr>
          <w:p>
            <w:pPr>
              <w:keepNext w:val="0"/>
              <w:keepLines w:val="0"/>
              <w:pageBreakBefore w:val="0"/>
              <w:widowControl w:val="0"/>
              <w:kinsoku w:val="0"/>
              <w:wordWrap/>
              <w:overflowPunct/>
              <w:topLinePunct w:val="0"/>
              <w:autoSpaceDE/>
              <w:autoSpaceDN/>
              <w:bidi w:val="0"/>
              <w:adjustRightInd/>
              <w:snapToGrid/>
              <w:spacing w:before="287" w:line="221" w:lineRule="auto"/>
              <w:ind w:left="1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序</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号</w:t>
            </w:r>
          </w:p>
        </w:tc>
        <w:tc>
          <w:tcPr>
            <w:tcW w:w="1269" w:type="dxa"/>
            <w:shd w:val="clear" w:color="auto" w:fill="D8D8D8"/>
            <w:vAlign w:val="top"/>
          </w:tcPr>
          <w:p>
            <w:pPr>
              <w:keepNext w:val="0"/>
              <w:keepLines w:val="0"/>
              <w:pageBreakBefore w:val="0"/>
              <w:widowControl w:val="0"/>
              <w:kinsoku w:val="0"/>
              <w:wordWrap/>
              <w:overflowPunct/>
              <w:topLinePunct w:val="0"/>
              <w:autoSpaceDE/>
              <w:autoSpaceDN/>
              <w:bidi w:val="0"/>
              <w:adjustRightInd/>
              <w:snapToGrid/>
              <w:spacing w:before="287" w:line="220" w:lineRule="auto"/>
              <w:ind w:left="1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商</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务条款</w:t>
            </w:r>
          </w:p>
        </w:tc>
        <w:tc>
          <w:tcPr>
            <w:tcW w:w="5798" w:type="dxa"/>
            <w:shd w:val="clear" w:color="auto" w:fill="D8D8D8"/>
            <w:vAlign w:val="top"/>
          </w:tcPr>
          <w:p>
            <w:pPr>
              <w:keepNext w:val="0"/>
              <w:keepLines w:val="0"/>
              <w:pageBreakBefore w:val="0"/>
              <w:widowControl w:val="0"/>
              <w:kinsoku w:val="0"/>
              <w:wordWrap/>
              <w:overflowPunct/>
              <w:topLinePunct w:val="0"/>
              <w:autoSpaceDE/>
              <w:autoSpaceDN/>
              <w:bidi w:val="0"/>
              <w:adjustRightInd/>
              <w:snapToGrid/>
              <w:spacing w:before="287" w:line="220" w:lineRule="auto"/>
              <w:ind w:left="255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内</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容</w:t>
            </w:r>
          </w:p>
        </w:tc>
        <w:tc>
          <w:tcPr>
            <w:tcW w:w="981" w:type="dxa"/>
            <w:tcBorders>
              <w:right w:val="single" w:color="000000" w:sz="10" w:space="0"/>
            </w:tcBorders>
            <w:shd w:val="clear" w:color="auto" w:fill="D8D8D8"/>
            <w:vAlign w:val="top"/>
          </w:tcPr>
          <w:p>
            <w:pPr>
              <w:keepNext w:val="0"/>
              <w:keepLines w:val="0"/>
              <w:pageBreakBefore w:val="0"/>
              <w:widowControl w:val="0"/>
              <w:kinsoku w:val="0"/>
              <w:wordWrap/>
              <w:overflowPunct/>
              <w:topLinePunct w:val="0"/>
              <w:autoSpaceDE/>
              <w:autoSpaceDN/>
              <w:bidi w:val="0"/>
              <w:adjustRightInd/>
              <w:snapToGrid/>
              <w:spacing w:before="105" w:line="262" w:lineRule="auto"/>
              <w:ind w:left="489" w:hanging="363"/>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14:textOutline w14:w="4297" w14:cap="flat" w14:cmpd="sng">
                  <w14:solidFill>
                    <w14:srgbClr w14:val="000000"/>
                  </w14:solidFill>
                  <w14:prstDash w14:val="solid"/>
                  <w14:miter w14:val="0"/>
                </w14:textOutline>
              </w:rPr>
              <w:t>评</w:t>
            </w:r>
            <w:r>
              <w:rPr>
                <w:rFonts w:ascii="宋体" w:hAnsi="宋体" w:eastAsia="宋体" w:cs="宋体"/>
                <w:color w:val="auto"/>
                <w:spacing w:val="-16"/>
                <w:sz w:val="23"/>
                <w:szCs w:val="23"/>
                <w:highlight w:val="none"/>
              </w:rPr>
              <w:t xml:space="preserve"> </w:t>
            </w:r>
            <w:r>
              <w:rPr>
                <w:rFonts w:ascii="宋体" w:hAnsi="宋体" w:eastAsia="宋体" w:cs="宋体"/>
                <w:color w:val="auto"/>
                <w:spacing w:val="-16"/>
                <w:sz w:val="23"/>
                <w:szCs w:val="23"/>
                <w:highlight w:val="none"/>
                <w14:textOutline w14:w="4297" w14:cap="flat" w14:cmpd="sng">
                  <w14:solidFill>
                    <w14:srgbClr w14:val="000000"/>
                  </w14:solidFill>
                  <w14:prstDash w14:val="solid"/>
                  <w14:miter w14:val="0"/>
                </w14:textOutline>
              </w:rPr>
              <w:t>审</w:t>
            </w:r>
            <w:r>
              <w:rPr>
                <w:rFonts w:ascii="宋体" w:hAnsi="宋体" w:eastAsia="宋体" w:cs="宋体"/>
                <w:color w:val="auto"/>
                <w:spacing w:val="-16"/>
                <w:sz w:val="23"/>
                <w:szCs w:val="23"/>
                <w:highlight w:val="none"/>
              </w:rPr>
              <w:t xml:space="preserve"> </w:t>
            </w:r>
            <w:r>
              <w:rPr>
                <w:rFonts w:ascii="宋体" w:hAnsi="宋体" w:eastAsia="宋体" w:cs="宋体"/>
                <w:color w:val="auto"/>
                <w:spacing w:val="-16"/>
                <w:sz w:val="23"/>
                <w:szCs w:val="23"/>
                <w:highlight w:val="none"/>
                <w14:textOutline w14:w="4297" w14:cap="flat" w14:cmpd="sng">
                  <w14:solidFill>
                    <w14:srgbClr w14:val="000000"/>
                  </w14:solidFill>
                  <w14:prstDash w14:val="solid"/>
                  <w14:miter w14:val="0"/>
                </w14:textOutline>
              </w:rPr>
              <w:t>点</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14:textOutline w14:w="4297"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before="9" w:line="43" w:lineRule="exact"/>
              <w:ind w:firstLine="8"/>
              <w:textAlignment w:val="center"/>
              <w:rPr>
                <w:color w:val="auto"/>
                <w:highlight w:val="none"/>
              </w:rPr>
            </w:pPr>
            <w:r>
              <w:rPr>
                <w:color w:val="auto"/>
                <w:highlight w:val="none"/>
              </w:rPr>
              <mc:AlternateContent>
                <mc:Choice Requires="wps">
                  <w:drawing>
                    <wp:inline distT="0" distB="0" distL="114300" distR="114300">
                      <wp:extent cx="436245" cy="27940"/>
                      <wp:effectExtent l="0" t="0" r="1905" b="635"/>
                      <wp:docPr id="1" name="任意多边形 1"/>
                      <wp:cNvGraphicFramePr/>
                      <a:graphic xmlns:a="http://schemas.openxmlformats.org/drawingml/2006/main">
                        <a:graphicData uri="http://schemas.microsoft.com/office/word/2010/wordprocessingShape">
                          <wps:wsp>
                            <wps:cNvSpPr/>
                            <wps:spPr>
                              <a:xfrm>
                                <a:off x="0" y="0"/>
                                <a:ext cx="436245" cy="27940"/>
                              </a:xfrm>
                              <a:custGeom>
                                <a:avLst/>
                                <a:gdLst/>
                                <a:ahLst/>
                                <a:cxnLst/>
                                <a:pathLst>
                                  <a:path w="686" h="44">
                                    <a:moveTo>
                                      <a:pt x="0" y="43"/>
                                    </a:moveTo>
                                    <a:lnTo>
                                      <a:pt x="686" y="43"/>
                                    </a:lnTo>
                                    <a:lnTo>
                                      <a:pt x="686" y="0"/>
                                    </a:lnTo>
                                    <a:lnTo>
                                      <a:pt x="0" y="0"/>
                                    </a:lnTo>
                                    <a:lnTo>
                                      <a:pt x="0" y="43"/>
                                    </a:lnTo>
                                    <a:close/>
                                  </a:path>
                                </a:pathLst>
                              </a:custGeom>
                              <a:solidFill>
                                <a:srgbClr val="FFFFFF"/>
                              </a:solidFill>
                              <a:ln>
                                <a:noFill/>
                              </a:ln>
                            </wps:spPr>
                            <wps:bodyPr upright="1"/>
                          </wps:wsp>
                        </a:graphicData>
                      </a:graphic>
                    </wp:inline>
                  </w:drawing>
                </mc:Choice>
                <mc:Fallback>
                  <w:pict>
                    <v:shape id="_x0000_s1026" o:spid="_x0000_s1026" o:spt="100" style="height:2.2pt;width:34.35pt;" fillcolor="#FFFFFF" filled="t" stroked="f" coordsize="686,44" o:gfxdata="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E3XGzTAAAAAgEAAA8AAAAAAAAA&#10;AQAgAAAAIgAAAGRycy9kb3ducmV2LnhtbFBLAQIUABQAAAAIAIdO4kA0tP9GFgIAAHkEAAAOAAAA&#10;AAAAAAEAIAAAACIBAABkcnMvZTJvRG9jLnhtbFBLBQYAAAAABgAGAFkBAACqBQAAAAA=&#10;" path="m0,43l686,43,686,0,0,0,0,43xe">
                      <v:fill on="t" focussize="0,0"/>
                      <v:stroke on="f"/>
                      <v:imagedata o:title=""/>
                      <o:lock v:ext="edit" aspectratio="f"/>
                      <w10:wrap type="none"/>
                      <w10:anchorlock/>
                    </v:shape>
                  </w:pict>
                </mc:Fallback>
              </mc:AlternateContent>
            </w:r>
          </w:p>
          <w:p>
            <w:pPr>
              <w:keepNext w:val="0"/>
              <w:keepLines w:val="0"/>
              <w:pageBreakBefore w:val="0"/>
              <w:widowControl w:val="0"/>
              <w:kinsoku w:val="0"/>
              <w:wordWrap/>
              <w:overflowPunct/>
              <w:topLinePunct w:val="0"/>
              <w:autoSpaceDE/>
              <w:autoSpaceDN/>
              <w:bidi w:val="0"/>
              <w:adjustRightInd/>
              <w:snapToGrid/>
              <w:spacing w:before="32" w:line="190" w:lineRule="auto"/>
              <w:ind w:left="470"/>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1</w:t>
            </w:r>
          </w:p>
        </w:tc>
        <w:tc>
          <w:tcPr>
            <w:tcW w:w="1269" w:type="dxa"/>
            <w:vAlign w:val="top"/>
          </w:tcPr>
          <w:p>
            <w:pPr>
              <w:keepNext w:val="0"/>
              <w:keepLines w:val="0"/>
              <w:pageBreakBefore w:val="0"/>
              <w:widowControl w:val="0"/>
              <w:kinsoku w:val="0"/>
              <w:wordWrap/>
              <w:overflowPunct/>
              <w:topLinePunct w:val="0"/>
              <w:autoSpaceDE/>
              <w:autoSpaceDN/>
              <w:bidi w:val="0"/>
              <w:adjustRightInd/>
              <w:snapToGrid/>
              <w:spacing w:before="90" w:line="214" w:lineRule="auto"/>
              <w:ind w:left="10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服</w:t>
            </w:r>
            <w:r>
              <w:rPr>
                <w:rFonts w:ascii="宋体" w:hAnsi="宋体" w:eastAsia="宋体" w:cs="宋体"/>
                <w:color w:val="auto"/>
                <w:spacing w:val="-3"/>
                <w:sz w:val="24"/>
                <w:szCs w:val="24"/>
                <w:highlight w:val="none"/>
              </w:rPr>
              <w:t>务期</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62" w:line="227" w:lineRule="auto"/>
              <w:ind w:left="111"/>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本</w:t>
            </w:r>
            <w:r>
              <w:rPr>
                <w:rFonts w:ascii="宋体" w:hAnsi="宋体" w:eastAsia="宋体" w:cs="宋体"/>
                <w:color w:val="auto"/>
                <w:spacing w:val="16"/>
                <w:sz w:val="23"/>
                <w:szCs w:val="23"/>
                <w:highlight w:val="none"/>
              </w:rPr>
              <w:t>项目合同签订之日起至建设项目验收(终验)结束。</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before="97" w:line="170" w:lineRule="auto"/>
              <w:ind w:left="454"/>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2</w:t>
            </w:r>
          </w:p>
          <w:p>
            <w:pPr>
              <w:keepNext w:val="0"/>
              <w:keepLines w:val="0"/>
              <w:pageBreakBefore w:val="0"/>
              <w:widowControl w:val="0"/>
              <w:kinsoku w:val="0"/>
              <w:wordWrap/>
              <w:overflowPunct/>
              <w:topLinePunct w:val="0"/>
              <w:autoSpaceDE/>
              <w:autoSpaceDN/>
              <w:bidi w:val="0"/>
              <w:adjustRightInd/>
              <w:snapToGrid/>
              <w:spacing w:line="36" w:lineRule="exact"/>
              <w:ind w:firstLine="8"/>
              <w:textAlignment w:val="center"/>
              <w:rPr>
                <w:color w:val="auto"/>
                <w:highlight w:val="none"/>
              </w:rPr>
            </w:pPr>
            <w:r>
              <w:rPr>
                <w:color w:val="auto"/>
                <w:highlight w:val="none"/>
              </w:rPr>
              <mc:AlternateContent>
                <mc:Choice Requires="wps">
                  <w:drawing>
                    <wp:inline distT="0" distB="0" distL="114300" distR="114300">
                      <wp:extent cx="436245" cy="27940"/>
                      <wp:effectExtent l="0" t="0" r="1905" b="635"/>
                      <wp:docPr id="6" name="任意多边形 6"/>
                      <wp:cNvGraphicFramePr/>
                      <a:graphic xmlns:a="http://schemas.openxmlformats.org/drawingml/2006/main">
                        <a:graphicData uri="http://schemas.microsoft.com/office/word/2010/wordprocessingShape">
                          <wps:wsp>
                            <wps:cNvSpPr/>
                            <wps:spPr>
                              <a:xfrm>
                                <a:off x="0" y="0"/>
                                <a:ext cx="436245" cy="27940"/>
                              </a:xfrm>
                              <a:custGeom>
                                <a:avLst/>
                                <a:gdLst/>
                                <a:ahLst/>
                                <a:cxnLst/>
                                <a:pathLst>
                                  <a:path w="686" h="44">
                                    <a:moveTo>
                                      <a:pt x="0" y="43"/>
                                    </a:moveTo>
                                    <a:lnTo>
                                      <a:pt x="686" y="43"/>
                                    </a:lnTo>
                                    <a:lnTo>
                                      <a:pt x="686" y="0"/>
                                    </a:lnTo>
                                    <a:lnTo>
                                      <a:pt x="0" y="0"/>
                                    </a:lnTo>
                                    <a:lnTo>
                                      <a:pt x="0" y="43"/>
                                    </a:lnTo>
                                    <a:close/>
                                  </a:path>
                                </a:pathLst>
                              </a:custGeom>
                              <a:solidFill>
                                <a:srgbClr val="FFFFFF"/>
                              </a:solidFill>
                              <a:ln>
                                <a:noFill/>
                              </a:ln>
                            </wps:spPr>
                            <wps:bodyPr upright="1"/>
                          </wps:wsp>
                        </a:graphicData>
                      </a:graphic>
                    </wp:inline>
                  </w:drawing>
                </mc:Choice>
                <mc:Fallback>
                  <w:pict>
                    <v:shape id="_x0000_s1026" o:spid="_x0000_s1026" o:spt="100" style="height:2.2pt;width:34.35pt;" fillcolor="#FFFFFF" filled="t" stroked="f" coordsize="686,44" o:gfxdata="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TdcbNMAAAACAQAADwAAAAAAAAAB&#10;ACAAAAAiAAAAZHJzL2Rvd25yZXYueG1sUEsBAhQAFAAAAAgAh07iQFo/u68VAgAAeQQAAA4AAAAA&#10;AAAAAQAgAAAAIgEAAGRycy9lMm9Eb2MueG1sUEsFBgAAAAAGAAYAWQEAAKkFAAAAAA==&#10;" path="m0,43l686,43,686,0,0,0,0,43xe">
                      <v:fill on="t" focussize="0,0"/>
                      <v:stroke on="f"/>
                      <v:imagedata o:title=""/>
                      <o:lock v:ext="edit" aspectratio="f"/>
                      <w10:wrap type="none"/>
                      <w10:anchorlock/>
                    </v:shape>
                  </w:pict>
                </mc:Fallback>
              </mc:AlternateContent>
            </w:r>
          </w:p>
        </w:tc>
        <w:tc>
          <w:tcPr>
            <w:tcW w:w="1269" w:type="dxa"/>
            <w:vAlign w:val="top"/>
          </w:tcPr>
          <w:p>
            <w:pPr>
              <w:keepNext w:val="0"/>
              <w:keepLines w:val="0"/>
              <w:pageBreakBefore w:val="0"/>
              <w:widowControl w:val="0"/>
              <w:kinsoku w:val="0"/>
              <w:wordWrap/>
              <w:overflowPunct/>
              <w:topLinePunct w:val="0"/>
              <w:autoSpaceDE/>
              <w:autoSpaceDN/>
              <w:bidi w:val="0"/>
              <w:adjustRightInd/>
              <w:snapToGrid/>
              <w:spacing w:before="82" w:line="220" w:lineRule="auto"/>
              <w:ind w:left="1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服务地点</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82" w:line="219" w:lineRule="auto"/>
              <w:ind w:left="5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采</w:t>
            </w:r>
            <w:r>
              <w:rPr>
                <w:rFonts w:ascii="宋体" w:hAnsi="宋体" w:eastAsia="宋体" w:cs="宋体"/>
                <w:color w:val="auto"/>
                <w:spacing w:val="-6"/>
                <w:sz w:val="24"/>
                <w:szCs w:val="24"/>
                <w:highlight w:val="none"/>
              </w:rPr>
              <w:t>购</w:t>
            </w:r>
            <w:r>
              <w:rPr>
                <w:rFonts w:ascii="宋体" w:hAnsi="宋体" w:eastAsia="宋体" w:cs="宋体"/>
                <w:color w:val="auto"/>
                <w:spacing w:val="-4"/>
                <w:sz w:val="24"/>
                <w:szCs w:val="24"/>
                <w:highlight w:val="none"/>
              </w:rPr>
              <w:t>人指定地点。</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line="252"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52"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52"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52"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52"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53"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88" w:line="190" w:lineRule="auto"/>
              <w:ind w:left="456"/>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3</w:t>
            </w:r>
          </w:p>
        </w:tc>
        <w:tc>
          <w:tcPr>
            <w:tcW w:w="1269" w:type="dxa"/>
            <w:vMerge w:val="restart"/>
            <w:tcBorders>
              <w:bottom w:val="nil"/>
            </w:tcBorders>
            <w:vAlign w:val="top"/>
          </w:tcPr>
          <w:p>
            <w:pPr>
              <w:keepNext w:val="0"/>
              <w:keepLines w:val="0"/>
              <w:pageBreakBefore w:val="0"/>
              <w:widowControl w:val="0"/>
              <w:kinsoku w:val="0"/>
              <w:wordWrap/>
              <w:overflowPunct/>
              <w:topLinePunct w:val="0"/>
              <w:autoSpaceDE/>
              <w:autoSpaceDN/>
              <w:bidi w:val="0"/>
              <w:adjustRightInd/>
              <w:snapToGrid/>
              <w:spacing w:line="266"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6"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6"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6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78" w:line="218" w:lineRule="auto"/>
              <w:ind w:left="1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报价</w:t>
            </w:r>
            <w:r>
              <w:rPr>
                <w:rFonts w:ascii="宋体" w:hAnsi="宋体" w:eastAsia="宋体" w:cs="宋体"/>
                <w:color w:val="auto"/>
                <w:spacing w:val="-1"/>
                <w:sz w:val="24"/>
                <w:szCs w:val="24"/>
                <w:highlight w:val="none"/>
              </w:rPr>
              <w:t>要求</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投标人的报价应包含为完成本招标文件提出的设</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备采购、</w:t>
            </w:r>
            <w:r>
              <w:rPr>
                <w:rFonts w:ascii="宋体" w:hAnsi="宋体" w:eastAsia="宋体" w:cs="宋体"/>
                <w:color w:val="auto"/>
                <w:spacing w:val="4"/>
                <w:sz w:val="23"/>
                <w:szCs w:val="23"/>
                <w:highlight w:val="none"/>
              </w:rPr>
              <w:t>运输、安装、软件开发、集成、调试、报检以</w:t>
            </w:r>
            <w:r>
              <w:rPr>
                <w:rFonts w:ascii="宋体" w:hAnsi="宋体" w:eastAsia="宋体" w:cs="宋体"/>
                <w:color w:val="auto"/>
                <w:sz w:val="23"/>
                <w:szCs w:val="23"/>
                <w:highlight w:val="none"/>
              </w:rPr>
              <w:t xml:space="preserve"> </w:t>
            </w:r>
            <w:r>
              <w:rPr>
                <w:rFonts w:ascii="宋体" w:hAnsi="宋体" w:eastAsia="宋体" w:cs="宋体"/>
                <w:color w:val="auto"/>
                <w:spacing w:val="-1"/>
                <w:sz w:val="23"/>
                <w:szCs w:val="23"/>
                <w:highlight w:val="none"/>
              </w:rPr>
              <w:t>及售后</w:t>
            </w:r>
            <w:r>
              <w:rPr>
                <w:rFonts w:ascii="宋体" w:hAnsi="宋体" w:eastAsia="宋体" w:cs="宋体"/>
                <w:color w:val="auto"/>
                <w:sz w:val="23"/>
                <w:szCs w:val="23"/>
                <w:highlight w:val="none"/>
              </w:rPr>
              <w:t xml:space="preserve">服务等全部相关工作所有可能发生的费用， 即所 </w:t>
            </w:r>
            <w:r>
              <w:rPr>
                <w:rFonts w:ascii="宋体" w:hAnsi="宋体" w:eastAsia="宋体" w:cs="宋体"/>
                <w:color w:val="auto"/>
                <w:spacing w:val="8"/>
                <w:sz w:val="23"/>
                <w:szCs w:val="23"/>
                <w:highlight w:val="none"/>
              </w:rPr>
              <w:t>需的一切</w:t>
            </w:r>
            <w:r>
              <w:rPr>
                <w:rFonts w:ascii="宋体" w:hAnsi="宋体" w:eastAsia="宋体" w:cs="宋体"/>
                <w:color w:val="auto"/>
                <w:spacing w:val="4"/>
                <w:sz w:val="23"/>
                <w:szCs w:val="23"/>
                <w:highlight w:val="none"/>
              </w:rPr>
              <w:t>人工、物耗、工具、设备、用水、用电、保险</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和调研、</w:t>
            </w:r>
            <w:r>
              <w:rPr>
                <w:rFonts w:ascii="宋体" w:hAnsi="宋体" w:eastAsia="宋体" w:cs="宋体"/>
                <w:color w:val="auto"/>
                <w:spacing w:val="4"/>
                <w:sz w:val="23"/>
                <w:szCs w:val="23"/>
                <w:highlight w:val="none"/>
              </w:rPr>
              <w:t>咨询、测试、验收、评审、培训、税金等所有</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可能</w:t>
            </w:r>
            <w:r>
              <w:rPr>
                <w:rFonts w:ascii="宋体" w:hAnsi="宋体" w:eastAsia="宋体" w:cs="宋体"/>
                <w:color w:val="auto"/>
                <w:spacing w:val="9"/>
                <w:sz w:val="23"/>
                <w:szCs w:val="23"/>
                <w:highlight w:val="none"/>
              </w:rPr>
              <w:t>发</w:t>
            </w:r>
            <w:r>
              <w:rPr>
                <w:rFonts w:ascii="宋体" w:hAnsi="宋体" w:eastAsia="宋体" w:cs="宋体"/>
                <w:color w:val="auto"/>
                <w:spacing w:val="6"/>
                <w:sz w:val="23"/>
                <w:szCs w:val="23"/>
                <w:highlight w:val="none"/>
              </w:rPr>
              <w:t>生的一切费用，即投标总报价为“交钥匙”价。</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对在合</w:t>
            </w:r>
            <w:r>
              <w:rPr>
                <w:rFonts w:ascii="宋体" w:hAnsi="宋体" w:eastAsia="宋体" w:cs="宋体"/>
                <w:color w:val="auto"/>
                <w:spacing w:val="4"/>
                <w:sz w:val="23"/>
                <w:szCs w:val="23"/>
                <w:highlight w:val="none"/>
              </w:rPr>
              <w:t>同实施过程中可能发生的其他费用(如： 增加耗</w:t>
            </w:r>
            <w:r>
              <w:rPr>
                <w:rFonts w:ascii="宋体" w:hAnsi="宋体" w:eastAsia="宋体" w:cs="宋体"/>
                <w:color w:val="auto"/>
                <w:sz w:val="23"/>
                <w:szCs w:val="23"/>
                <w:highlight w:val="none"/>
              </w:rPr>
              <w:t xml:space="preserve"> </w:t>
            </w:r>
            <w:r>
              <w:rPr>
                <w:rFonts w:ascii="宋体" w:hAnsi="宋体" w:eastAsia="宋体" w:cs="宋体"/>
                <w:color w:val="auto"/>
                <w:spacing w:val="14"/>
                <w:sz w:val="23"/>
                <w:szCs w:val="23"/>
                <w:highlight w:val="none"/>
              </w:rPr>
              <w:t>材、</w:t>
            </w:r>
            <w:r>
              <w:rPr>
                <w:rFonts w:ascii="宋体" w:hAnsi="宋体" w:eastAsia="宋体" w:cs="宋体"/>
                <w:color w:val="auto"/>
                <w:spacing w:val="8"/>
                <w:sz w:val="23"/>
                <w:szCs w:val="23"/>
                <w:highlight w:val="none"/>
              </w:rPr>
              <w:t>材</w:t>
            </w:r>
            <w:r>
              <w:rPr>
                <w:rFonts w:ascii="宋体" w:hAnsi="宋体" w:eastAsia="宋体" w:cs="宋体"/>
                <w:color w:val="auto"/>
                <w:spacing w:val="7"/>
                <w:sz w:val="23"/>
                <w:szCs w:val="23"/>
                <w:highlight w:val="none"/>
              </w:rPr>
              <w:t>料涨价、人工、运输成本增加等因素)，采购人</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概不负责</w:t>
            </w:r>
            <w:r>
              <w:rPr>
                <w:rFonts w:ascii="宋体" w:hAnsi="宋体" w:eastAsia="宋体" w:cs="宋体"/>
                <w:color w:val="auto"/>
                <w:spacing w:val="5"/>
                <w:sz w:val="23"/>
                <w:szCs w:val="23"/>
                <w:highlight w:val="none"/>
              </w:rPr>
              <w:t>。</w:t>
            </w:r>
            <w:r>
              <w:rPr>
                <w:rFonts w:ascii="宋体" w:hAnsi="宋体" w:eastAsia="宋体" w:cs="宋体"/>
                <w:color w:val="auto"/>
                <w:spacing w:val="4"/>
                <w:sz w:val="23"/>
                <w:szCs w:val="23"/>
                <w:highlight w:val="none"/>
              </w:rPr>
              <w:t>本文件所要求内容应视为保证系统运行所需</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最低要</w:t>
            </w:r>
            <w:r>
              <w:rPr>
                <w:rFonts w:ascii="宋体" w:hAnsi="宋体" w:eastAsia="宋体" w:cs="宋体"/>
                <w:color w:val="auto"/>
                <w:spacing w:val="-6"/>
                <w:sz w:val="23"/>
                <w:szCs w:val="23"/>
                <w:highlight w:val="none"/>
              </w:rPr>
              <w:t>求</w:t>
            </w:r>
            <w:r>
              <w:rPr>
                <w:rFonts w:ascii="宋体" w:hAnsi="宋体" w:eastAsia="宋体" w:cs="宋体"/>
                <w:color w:val="auto"/>
                <w:spacing w:val="-4"/>
                <w:sz w:val="23"/>
                <w:szCs w:val="23"/>
                <w:highlight w:val="none"/>
              </w:rPr>
              <w:t>， 如有遗漏， 投标人应予补充。否则，将不予</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以</w:t>
            </w:r>
            <w:r>
              <w:rPr>
                <w:rFonts w:ascii="宋体" w:hAnsi="宋体" w:eastAsia="宋体" w:cs="宋体"/>
                <w:color w:val="auto"/>
                <w:spacing w:val="-2"/>
                <w:sz w:val="23"/>
                <w:szCs w:val="23"/>
                <w:highlight w:val="none"/>
              </w:rPr>
              <w:t>付款。</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line="429"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87" w:line="190" w:lineRule="auto"/>
              <w:ind w:left="449"/>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4</w:t>
            </w:r>
          </w:p>
        </w:tc>
        <w:tc>
          <w:tcPr>
            <w:tcW w:w="1269" w:type="dxa"/>
            <w:vMerge w:val="continue"/>
            <w:tcBorders>
              <w:top w:val="nil"/>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对本文件未列明， 而投标人认为必需的费用也需列 入投标总报价。在合同实施时， 采购人将不予支付中标 人没有列入的项目费用， 并认为此项目的费用已包含在 投标总报价中。</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line="280"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88" w:line="185" w:lineRule="auto"/>
              <w:ind w:left="450"/>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5</w:t>
            </w:r>
          </w:p>
        </w:tc>
        <w:tc>
          <w:tcPr>
            <w:tcW w:w="1269" w:type="dxa"/>
            <w:vMerge w:val="restart"/>
            <w:tcBorders>
              <w:bottom w:val="nil"/>
            </w:tcBorders>
            <w:vAlign w:val="top"/>
          </w:tcPr>
          <w:p>
            <w:pPr>
              <w:keepNext w:val="0"/>
              <w:keepLines w:val="0"/>
              <w:pageBreakBefore w:val="0"/>
              <w:widowControl w:val="0"/>
              <w:kinsoku w:val="0"/>
              <w:wordWrap/>
              <w:overflowPunct/>
              <w:topLinePunct w:val="0"/>
              <w:autoSpaceDE/>
              <w:autoSpaceDN/>
              <w:bidi w:val="0"/>
              <w:adjustRightInd/>
              <w:snapToGrid/>
              <w:spacing w:line="289"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90"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78" w:line="219" w:lineRule="auto"/>
              <w:ind w:left="1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付款方式</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合同款支付： 建设项目经验收合格后， 一次性支付 全部合同款。中标人必须按国家有关财税规定开具发 票。</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before="208" w:line="187" w:lineRule="auto"/>
              <w:ind w:left="455"/>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6</w:t>
            </w:r>
          </w:p>
        </w:tc>
        <w:tc>
          <w:tcPr>
            <w:tcW w:w="1269" w:type="dxa"/>
            <w:vMerge w:val="continue"/>
            <w:tcBorders>
              <w:top w:val="nil"/>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本项目为“交钥匙工程”投标人所投报价包含设备 款、运输、安装、调试、培训等费用。</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tcBorders>
              <w:lef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before="212" w:line="188" w:lineRule="auto"/>
              <w:ind w:left="457"/>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7</w:t>
            </w:r>
          </w:p>
        </w:tc>
        <w:tc>
          <w:tcPr>
            <w:tcW w:w="1269" w:type="dxa"/>
            <w:vAlign w:val="top"/>
          </w:tcPr>
          <w:p>
            <w:pPr>
              <w:keepNext w:val="0"/>
              <w:keepLines w:val="0"/>
              <w:pageBreakBefore w:val="0"/>
              <w:widowControl w:val="0"/>
              <w:kinsoku w:val="0"/>
              <w:wordWrap/>
              <w:overflowPunct/>
              <w:topLinePunct w:val="0"/>
              <w:autoSpaceDE/>
              <w:autoSpaceDN/>
              <w:bidi w:val="0"/>
              <w:adjustRightInd/>
              <w:snapToGrid/>
              <w:spacing w:before="113" w:line="220" w:lineRule="auto"/>
              <w:ind w:left="10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验收要</w:t>
            </w:r>
            <w:r>
              <w:rPr>
                <w:rFonts w:ascii="宋体" w:hAnsi="宋体" w:eastAsia="宋体" w:cs="宋体"/>
                <w:color w:val="auto"/>
                <w:spacing w:val="-1"/>
                <w:sz w:val="24"/>
                <w:szCs w:val="24"/>
                <w:highlight w:val="none"/>
              </w:rPr>
              <w:t>求</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监理工作验收标准， 提供但不限于监理报告， 日常 监理工作报告等。</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723" w:type="dxa"/>
            <w:tcBorders>
              <w:left w:val="single" w:color="000000" w:sz="10" w:space="0"/>
              <w:bottom w:val="nil"/>
            </w:tcBorders>
            <w:vAlign w:val="top"/>
          </w:tcPr>
          <w:p>
            <w:pPr>
              <w:keepNext w:val="0"/>
              <w:keepLines w:val="0"/>
              <w:pageBreakBefore w:val="0"/>
              <w:widowControl w:val="0"/>
              <w:kinsoku w:val="0"/>
              <w:wordWrap/>
              <w:overflowPunct/>
              <w:topLinePunct w:val="0"/>
              <w:autoSpaceDE/>
              <w:autoSpaceDN/>
              <w:bidi w:val="0"/>
              <w:adjustRightInd/>
              <w:snapToGrid/>
              <w:spacing w:line="293"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94"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88" w:line="188" w:lineRule="auto"/>
              <w:ind w:left="453"/>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8</w:t>
            </w:r>
          </w:p>
        </w:tc>
        <w:tc>
          <w:tcPr>
            <w:tcW w:w="1269" w:type="dxa"/>
            <w:tcBorders>
              <w:bottom w:val="nil"/>
            </w:tcBorders>
            <w:vAlign w:val="top"/>
          </w:tcPr>
          <w:p>
            <w:pPr>
              <w:keepNext w:val="0"/>
              <w:keepLines w:val="0"/>
              <w:pageBreakBefore w:val="0"/>
              <w:widowControl w:val="0"/>
              <w:kinsoku w:val="0"/>
              <w:wordWrap/>
              <w:overflowPunct/>
              <w:topLinePunct w:val="0"/>
              <w:autoSpaceDE/>
              <w:autoSpaceDN/>
              <w:bidi w:val="0"/>
              <w:adjustRightInd/>
              <w:snapToGrid/>
              <w:spacing w:line="28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line="287"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78" w:line="220" w:lineRule="auto"/>
              <w:ind w:left="1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合同条款</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因投标人不履行监理义务或不适当履行监理 义务，或违反合同约定义务而给采购人造成经济损失 的，应当退还采购人全部监理费，承担全部经济损失</w:t>
            </w:r>
          </w:p>
        </w:tc>
        <w:tc>
          <w:tcPr>
            <w:tcW w:w="981" w:type="dxa"/>
            <w:tcBorders>
              <w:right w:val="single" w:color="000000" w:sz="10" w:space="0"/>
            </w:tcBorders>
            <w:vAlign w:val="top"/>
          </w:tcPr>
          <w:p>
            <w:pPr>
              <w:keepNext w:val="0"/>
              <w:keepLines w:val="0"/>
              <w:pageBreakBefore w:val="0"/>
              <w:widowControl w:val="0"/>
              <w:kinsoku w:val="0"/>
              <w:wordWrap/>
              <w:overflowPunct/>
              <w:topLinePunct w:val="0"/>
              <w:autoSpaceDE/>
              <w:autoSpaceDN/>
              <w:bidi w:val="0"/>
              <w:adjustRightInd/>
              <w:snapToGrid/>
              <w:spacing w:line="265" w:lineRule="auto"/>
              <w:rPr>
                <w:rFonts w:ascii="Arial"/>
                <w:color w:val="auto"/>
                <w:sz w:val="21"/>
                <w:highlight w:val="none"/>
              </w:rPr>
            </w:pPr>
          </w:p>
          <w:p>
            <w:pPr>
              <w:keepNext w:val="0"/>
              <w:keepLines w:val="0"/>
              <w:pageBreakBefore w:val="0"/>
              <w:widowControl w:val="0"/>
              <w:kinsoku w:val="0"/>
              <w:wordWrap/>
              <w:overflowPunct/>
              <w:topLinePunct w:val="0"/>
              <w:autoSpaceDE/>
              <w:autoSpaceDN/>
              <w:bidi w:val="0"/>
              <w:adjustRightInd/>
              <w:snapToGrid/>
              <w:spacing w:before="78" w:line="227" w:lineRule="auto"/>
              <w:ind w:left="371"/>
              <w:rPr>
                <w:rFonts w:ascii="宋体" w:hAnsi="宋体" w:eastAsia="宋体" w:cs="宋体"/>
                <w:color w:val="auto"/>
                <w:sz w:val="24"/>
                <w:szCs w:val="24"/>
                <w:highlight w:val="none"/>
              </w:rPr>
            </w:pPr>
          </w:p>
        </w:tc>
      </w:tr>
    </w:tbl>
    <w:p>
      <w:pPr>
        <w:spacing w:line="233" w:lineRule="exact"/>
        <w:rPr>
          <w:rFonts w:ascii="Arial"/>
          <w:color w:val="auto"/>
          <w:sz w:val="20"/>
          <w:highlight w:val="none"/>
        </w:rPr>
      </w:pPr>
    </w:p>
    <w:p>
      <w:pPr>
        <w:spacing w:line="74" w:lineRule="exact"/>
        <w:rPr>
          <w:color w:val="auto"/>
          <w:highlight w:val="none"/>
        </w:rPr>
      </w:pPr>
    </w:p>
    <w:tbl>
      <w:tblPr>
        <w:tblStyle w:val="41"/>
        <w:tblW w:w="87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269"/>
        <w:gridCol w:w="5798"/>
        <w:gridCol w:w="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7" w:hRule="atLeast"/>
        </w:trPr>
        <w:tc>
          <w:tcPr>
            <w:tcW w:w="723" w:type="dxa"/>
            <w:tcBorders>
              <w:left w:val="single" w:color="000000" w:sz="10" w:space="0"/>
            </w:tcBorders>
            <w:shd w:val="clear" w:color="auto" w:fill="D8D8D8"/>
            <w:vAlign w:val="top"/>
          </w:tcPr>
          <w:p>
            <w:pPr>
              <w:spacing w:before="287" w:line="221" w:lineRule="auto"/>
              <w:ind w:left="1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序</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号</w:t>
            </w:r>
          </w:p>
        </w:tc>
        <w:tc>
          <w:tcPr>
            <w:tcW w:w="1269" w:type="dxa"/>
            <w:shd w:val="clear" w:color="auto" w:fill="D8D8D8"/>
            <w:vAlign w:val="top"/>
          </w:tcPr>
          <w:p>
            <w:pPr>
              <w:spacing w:before="287" w:line="220" w:lineRule="auto"/>
              <w:ind w:left="1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商</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务条款</w:t>
            </w:r>
          </w:p>
        </w:tc>
        <w:tc>
          <w:tcPr>
            <w:tcW w:w="5798" w:type="dxa"/>
            <w:shd w:val="clear" w:color="auto" w:fill="D8D8D8"/>
            <w:vAlign w:val="top"/>
          </w:tcPr>
          <w:p>
            <w:pPr>
              <w:spacing w:before="287" w:line="220" w:lineRule="auto"/>
              <w:ind w:left="255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内</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容</w:t>
            </w:r>
          </w:p>
        </w:tc>
        <w:tc>
          <w:tcPr>
            <w:tcW w:w="981" w:type="dxa"/>
            <w:tcBorders>
              <w:right w:val="single" w:color="000000" w:sz="10" w:space="0"/>
            </w:tcBorders>
            <w:shd w:val="clear" w:color="auto" w:fill="D8D8D8"/>
            <w:vAlign w:val="top"/>
          </w:tcPr>
          <w:p>
            <w:pPr>
              <w:spacing w:before="106" w:line="261" w:lineRule="auto"/>
              <w:ind w:left="489" w:hanging="363"/>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14:textOutline w14:w="4297" w14:cap="flat" w14:cmpd="sng">
                  <w14:solidFill>
                    <w14:srgbClr w14:val="000000"/>
                  </w14:solidFill>
                  <w14:prstDash w14:val="solid"/>
                  <w14:miter w14:val="0"/>
                </w14:textOutline>
              </w:rPr>
              <w:t>评</w:t>
            </w:r>
            <w:r>
              <w:rPr>
                <w:rFonts w:ascii="宋体" w:hAnsi="宋体" w:eastAsia="宋体" w:cs="宋体"/>
                <w:color w:val="auto"/>
                <w:spacing w:val="-16"/>
                <w:sz w:val="23"/>
                <w:szCs w:val="23"/>
                <w:highlight w:val="none"/>
              </w:rPr>
              <w:t xml:space="preserve"> </w:t>
            </w:r>
            <w:r>
              <w:rPr>
                <w:rFonts w:ascii="宋体" w:hAnsi="宋体" w:eastAsia="宋体" w:cs="宋体"/>
                <w:color w:val="auto"/>
                <w:spacing w:val="-16"/>
                <w:sz w:val="23"/>
                <w:szCs w:val="23"/>
                <w:highlight w:val="none"/>
                <w14:textOutline w14:w="4297" w14:cap="flat" w14:cmpd="sng">
                  <w14:solidFill>
                    <w14:srgbClr w14:val="000000"/>
                  </w14:solidFill>
                  <w14:prstDash w14:val="solid"/>
                  <w14:miter w14:val="0"/>
                </w14:textOutline>
              </w:rPr>
              <w:t>审</w:t>
            </w:r>
            <w:r>
              <w:rPr>
                <w:rFonts w:ascii="宋体" w:hAnsi="宋体" w:eastAsia="宋体" w:cs="宋体"/>
                <w:color w:val="auto"/>
                <w:spacing w:val="-16"/>
                <w:sz w:val="23"/>
                <w:szCs w:val="23"/>
                <w:highlight w:val="none"/>
              </w:rPr>
              <w:t xml:space="preserve"> </w:t>
            </w:r>
            <w:r>
              <w:rPr>
                <w:rFonts w:ascii="宋体" w:hAnsi="宋体" w:eastAsia="宋体" w:cs="宋体"/>
                <w:color w:val="auto"/>
                <w:spacing w:val="-16"/>
                <w:sz w:val="23"/>
                <w:szCs w:val="23"/>
                <w:highlight w:val="none"/>
                <w14:textOutline w14:w="4297" w14:cap="flat" w14:cmpd="sng">
                  <w14:solidFill>
                    <w14:srgbClr w14:val="000000"/>
                  </w14:solidFill>
                  <w14:prstDash w14:val="solid"/>
                  <w14:miter w14:val="0"/>
                </w14:textOutline>
              </w:rPr>
              <w:t>点</w:t>
            </w:r>
            <w:r>
              <w:rPr>
                <w:rFonts w:ascii="宋体" w:hAnsi="宋体" w:eastAsia="宋体" w:cs="宋体"/>
                <w:color w:val="auto"/>
                <w:sz w:val="23"/>
                <w:szCs w:val="23"/>
                <w:highlight w:val="none"/>
              </w:rPr>
              <w:t xml:space="preserve"> </w:t>
            </w:r>
            <w:r>
              <w:rPr>
                <w:rFonts w:ascii="宋体" w:hAnsi="宋体" w:eastAsia="宋体" w:cs="宋体"/>
                <w:color w:val="auto"/>
                <w:sz w:val="23"/>
                <w:szCs w:val="23"/>
                <w:highlight w:val="none"/>
                <w14:textOutline w14:w="4297"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723" w:type="dxa"/>
            <w:tcBorders>
              <w:left w:val="single" w:color="000000" w:sz="10" w:space="0"/>
            </w:tcBorders>
            <w:vAlign w:val="top"/>
          </w:tcPr>
          <w:p>
            <w:pPr>
              <w:rPr>
                <w:rFonts w:ascii="Arial"/>
                <w:color w:val="auto"/>
                <w:sz w:val="21"/>
                <w:highlight w:val="none"/>
              </w:rPr>
            </w:pPr>
          </w:p>
        </w:tc>
        <w:tc>
          <w:tcPr>
            <w:tcW w:w="1269" w:type="dxa"/>
            <w:vAlign w:val="top"/>
          </w:tcPr>
          <w:p>
            <w:pPr>
              <w:rPr>
                <w:rFonts w:ascii="Arial"/>
                <w:color w:val="auto"/>
                <w:sz w:val="21"/>
                <w:highlight w:val="none"/>
              </w:rPr>
            </w:pP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的赔偿责任； 同时， 还应当承担由此而引发的相应的 法律责任，及承担采购人为解决纠纷产生的诉讼费、 律师费、差旅费等费用。</w:t>
            </w:r>
          </w:p>
        </w:tc>
        <w:tc>
          <w:tcPr>
            <w:tcW w:w="981" w:type="dxa"/>
            <w:tcBorders>
              <w:right w:val="single" w:color="000000" w:sz="10"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tcBorders>
              <w:left w:val="single" w:color="000000" w:sz="10" w:space="0"/>
            </w:tcBorders>
            <w:vAlign w:val="top"/>
          </w:tcPr>
          <w:p>
            <w:pPr>
              <w:spacing w:before="206" w:line="189" w:lineRule="auto"/>
              <w:ind w:left="449"/>
              <w:rPr>
                <w:rFonts w:ascii="黑体" w:hAnsi="黑体" w:eastAsia="黑体" w:cs="黑体"/>
                <w:color w:val="auto"/>
                <w:sz w:val="27"/>
                <w:szCs w:val="27"/>
                <w:highlight w:val="none"/>
              </w:rPr>
            </w:pPr>
            <w:r>
              <w:rPr>
                <w:rFonts w:ascii="黑体" w:hAnsi="黑体" w:eastAsia="黑体" w:cs="黑体"/>
                <w:color w:val="auto"/>
                <w:sz w:val="27"/>
                <w:szCs w:val="27"/>
                <w:highlight w:val="none"/>
                <w14:textOutline w14:w="5050" w14:cap="flat" w14:cmpd="sng">
                  <w14:solidFill>
                    <w14:srgbClr w14:val="000000"/>
                  </w14:solidFill>
                  <w14:prstDash w14:val="solid"/>
                  <w14:miter w14:val="0"/>
                </w14:textOutline>
              </w:rPr>
              <w:t>9</w:t>
            </w:r>
          </w:p>
        </w:tc>
        <w:tc>
          <w:tcPr>
            <w:tcW w:w="1269" w:type="dxa"/>
            <w:vAlign w:val="top"/>
          </w:tcPr>
          <w:p>
            <w:pPr>
              <w:spacing w:before="32" w:line="229" w:lineRule="auto"/>
              <w:ind w:left="104" w:right="38" w:firstLine="1"/>
              <w:rPr>
                <w:rFonts w:ascii="宋体" w:hAnsi="宋体" w:eastAsia="宋体" w:cs="宋体"/>
                <w:color w:val="auto"/>
                <w:sz w:val="24"/>
                <w:szCs w:val="24"/>
                <w:highlight w:val="none"/>
              </w:rPr>
            </w:pPr>
            <w:r>
              <w:rPr>
                <w:rFonts w:ascii="宋体" w:hAnsi="宋体" w:eastAsia="宋体" w:cs="宋体"/>
                <w:color w:val="auto"/>
                <w:spacing w:val="-33"/>
                <w:sz w:val="24"/>
                <w:szCs w:val="24"/>
                <w:highlight w:val="none"/>
              </w:rPr>
              <w:t>履</w:t>
            </w:r>
            <w:r>
              <w:rPr>
                <w:rFonts w:ascii="宋体" w:hAnsi="宋体" w:eastAsia="宋体" w:cs="宋体"/>
                <w:color w:val="auto"/>
                <w:spacing w:val="-28"/>
                <w:sz w:val="24"/>
                <w:szCs w:val="24"/>
                <w:highlight w:val="none"/>
              </w:rPr>
              <w:t xml:space="preserve"> 约 保 障</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条款</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依据《中华人民共和国政府采购法实施条例》的有 关规定，中标人待双方合同签订后 30 日内。</w:t>
            </w:r>
          </w:p>
        </w:tc>
        <w:tc>
          <w:tcPr>
            <w:tcW w:w="981" w:type="dxa"/>
            <w:tcBorders>
              <w:right w:val="single" w:color="000000" w:sz="10"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23" w:type="dxa"/>
            <w:tcBorders>
              <w:left w:val="single" w:color="000000" w:sz="10" w:space="0"/>
            </w:tcBorders>
            <w:vAlign w:val="top"/>
          </w:tcPr>
          <w:p>
            <w:pPr>
              <w:spacing w:line="423" w:lineRule="auto"/>
              <w:rPr>
                <w:rFonts w:ascii="Arial"/>
                <w:color w:val="auto"/>
                <w:sz w:val="21"/>
                <w:highlight w:val="none"/>
              </w:rPr>
            </w:pPr>
          </w:p>
          <w:p>
            <w:pPr>
              <w:spacing w:before="88" w:line="187" w:lineRule="auto"/>
              <w:ind w:left="398"/>
              <w:rPr>
                <w:rFonts w:ascii="黑体" w:hAnsi="黑体" w:eastAsia="黑体" w:cs="黑体"/>
                <w:color w:val="auto"/>
                <w:sz w:val="27"/>
                <w:szCs w:val="27"/>
                <w:highlight w:val="none"/>
              </w:rPr>
            </w:pPr>
            <w:r>
              <w:rPr>
                <w:rFonts w:ascii="黑体" w:hAnsi="黑体" w:eastAsia="黑体" w:cs="黑体"/>
                <w:color w:val="auto"/>
                <w:spacing w:val="-3"/>
                <w:sz w:val="27"/>
                <w:szCs w:val="27"/>
                <w:highlight w:val="none"/>
                <w14:textOutline w14:w="5050" w14:cap="flat" w14:cmpd="sng">
                  <w14:solidFill>
                    <w14:srgbClr w14:val="000000"/>
                  </w14:solidFill>
                  <w14:prstDash w14:val="solid"/>
                  <w14:miter w14:val="0"/>
                </w14:textOutline>
              </w:rPr>
              <w:t>10</w:t>
            </w:r>
          </w:p>
        </w:tc>
        <w:tc>
          <w:tcPr>
            <w:tcW w:w="1269" w:type="dxa"/>
            <w:vAlign w:val="top"/>
          </w:tcPr>
          <w:p>
            <w:pPr>
              <w:spacing w:line="418" w:lineRule="auto"/>
              <w:rPr>
                <w:rFonts w:ascii="Arial"/>
                <w:color w:val="auto"/>
                <w:sz w:val="21"/>
                <w:highlight w:val="none"/>
              </w:rPr>
            </w:pPr>
          </w:p>
          <w:p>
            <w:pPr>
              <w:spacing w:before="78" w:line="217" w:lineRule="auto"/>
              <w:ind w:left="1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其他要求</w:t>
            </w:r>
          </w:p>
        </w:tc>
        <w:tc>
          <w:tcPr>
            <w:tcW w:w="5798" w:type="dxa"/>
            <w:vAlign w:val="top"/>
          </w:tcPr>
          <w:p>
            <w:pPr>
              <w:keepNext w:val="0"/>
              <w:keepLines w:val="0"/>
              <w:pageBreakBefore w:val="0"/>
              <w:widowControl w:val="0"/>
              <w:kinsoku w:val="0"/>
              <w:wordWrap/>
              <w:overflowPunct/>
              <w:topLinePunct w:val="0"/>
              <w:autoSpaceDE/>
              <w:autoSpaceDN/>
              <w:bidi w:val="0"/>
              <w:adjustRightInd/>
              <w:snapToGrid/>
              <w:spacing w:before="36" w:line="248" w:lineRule="auto"/>
              <w:ind w:left="109" w:firstLine="481"/>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投标人须承诺， 项目实施及运维工作过程中， 派驻现场的项目经理、技术负责人、项目组成员、安全保障成员必须与投标文件提供的人员一致，否则视为违约， 采购人可视情况严重性与否解除合同。</w:t>
            </w:r>
          </w:p>
        </w:tc>
        <w:tc>
          <w:tcPr>
            <w:tcW w:w="981" w:type="dxa"/>
            <w:tcBorders>
              <w:right w:val="single" w:color="000000" w:sz="10" w:space="0"/>
            </w:tcBorders>
            <w:vAlign w:val="top"/>
          </w:tcPr>
          <w:p>
            <w:pPr>
              <w:rPr>
                <w:rFonts w:ascii="Arial"/>
                <w:color w:val="auto"/>
                <w:sz w:val="21"/>
                <w:highlight w:val="none"/>
              </w:rPr>
            </w:pPr>
          </w:p>
        </w:tc>
      </w:tr>
    </w:tbl>
    <w:p>
      <w:pPr>
        <w:rPr>
          <w:rStyle w:val="28"/>
          <w:rFonts w:hint="eastAsia"/>
          <w:b w:val="0"/>
          <w:color w:val="auto"/>
          <w:highlight w:val="none"/>
        </w:rPr>
      </w:pPr>
      <w:r>
        <w:rPr>
          <w:rStyle w:val="28"/>
          <w:rFonts w:hint="eastAsia"/>
          <w:b w:val="0"/>
          <w:color w:val="auto"/>
          <w:highlight w:val="none"/>
        </w:rPr>
        <w:br w:type="page"/>
      </w:r>
    </w:p>
    <w:p>
      <w:pPr>
        <w:pStyle w:val="11"/>
        <w:rPr>
          <w:rFonts w:hint="eastAsia"/>
          <w:color w:val="auto"/>
          <w:highlight w:val="none"/>
        </w:rPr>
      </w:pPr>
    </w:p>
    <w:p>
      <w:pPr>
        <w:jc w:val="center"/>
        <w:outlineLvl w:val="0"/>
        <w:rPr>
          <w:rStyle w:val="28"/>
          <w:b w:val="0"/>
          <w:color w:val="auto"/>
          <w:highlight w:val="none"/>
        </w:rPr>
      </w:pPr>
      <w:bookmarkStart w:id="286" w:name="_Toc32743"/>
      <w:r>
        <w:rPr>
          <w:rStyle w:val="28"/>
          <w:rFonts w:hint="eastAsia"/>
          <w:b w:val="0"/>
          <w:color w:val="auto"/>
          <w:highlight w:val="none"/>
        </w:rPr>
        <w:t>第四章  评定办法</w:t>
      </w:r>
      <w:bookmarkEnd w:id="268"/>
      <w:bookmarkEnd w:id="269"/>
      <w:bookmarkEnd w:id="277"/>
      <w:bookmarkEnd w:id="278"/>
      <w:bookmarkEnd w:id="279"/>
      <w:bookmarkEnd w:id="280"/>
      <w:bookmarkEnd w:id="281"/>
      <w:bookmarkEnd w:id="282"/>
      <w:bookmarkEnd w:id="283"/>
      <w:bookmarkEnd w:id="284"/>
      <w:bookmarkEnd w:id="285"/>
      <w:bookmarkEnd w:id="286"/>
    </w:p>
    <w:p>
      <w:pPr>
        <w:autoSpaceDE w:val="0"/>
        <w:autoSpaceDN w:val="0"/>
        <w:adjustRightInd w:val="0"/>
        <w:snapToGrid w:val="0"/>
        <w:spacing w:line="360" w:lineRule="auto"/>
        <w:jc w:val="left"/>
        <w:outlineLvl w:val="1"/>
        <w:rPr>
          <w:rFonts w:hint="eastAsia" w:ascii="宋体" w:cs="宋体"/>
          <w:b/>
          <w:bCs/>
          <w:color w:val="auto"/>
          <w:kern w:val="0"/>
          <w:sz w:val="27"/>
          <w:szCs w:val="27"/>
          <w:highlight w:val="none"/>
        </w:rPr>
      </w:pPr>
      <w:r>
        <w:rPr>
          <w:rFonts w:hint="eastAsia" w:ascii="宋体" w:cs="宋体"/>
          <w:b/>
          <w:bCs/>
          <w:color w:val="auto"/>
          <w:kern w:val="0"/>
          <w:sz w:val="27"/>
          <w:szCs w:val="27"/>
          <w:highlight w:val="none"/>
        </w:rPr>
        <w:t>一</w:t>
      </w:r>
      <w:r>
        <w:rPr>
          <w:rFonts w:ascii="宋体" w:cs="宋体"/>
          <w:b/>
          <w:bCs/>
          <w:color w:val="auto"/>
          <w:kern w:val="0"/>
          <w:sz w:val="27"/>
          <w:szCs w:val="27"/>
          <w:highlight w:val="none"/>
        </w:rPr>
        <w:t>.</w:t>
      </w:r>
      <w:r>
        <w:rPr>
          <w:rFonts w:hint="eastAsia" w:ascii="宋体" w:cs="宋体"/>
          <w:b/>
          <w:bCs/>
          <w:color w:val="auto"/>
          <w:kern w:val="0"/>
          <w:sz w:val="27"/>
          <w:szCs w:val="27"/>
          <w:highlight w:val="none"/>
        </w:rPr>
        <w:t>评定办法前附表</w:t>
      </w:r>
    </w:p>
    <w:p>
      <w:pPr>
        <w:numPr>
          <w:ilvl w:val="0"/>
          <w:numId w:val="0"/>
        </w:numPr>
        <w:spacing w:line="360" w:lineRule="auto"/>
        <w:ind w:left="120" w:leftChars="0"/>
        <w:jc w:val="both"/>
        <w:outlineLvl w:val="2"/>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附表</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资格审查表</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响应供应商</w:t>
      </w:r>
      <w:r>
        <w:rPr>
          <w:rFonts w:hint="eastAsia" w:ascii="宋体" w:hAnsi="宋体"/>
          <w:b/>
          <w:bCs/>
          <w:color w:val="auto"/>
          <w:sz w:val="24"/>
          <w:szCs w:val="24"/>
          <w:highlight w:val="none"/>
        </w:rPr>
        <w:t>根据</w:t>
      </w:r>
      <w:r>
        <w:rPr>
          <w:rFonts w:hint="eastAsia" w:ascii="宋体" w:hAnsi="宋体"/>
          <w:b/>
          <w:bCs/>
          <w:color w:val="auto"/>
          <w:sz w:val="24"/>
          <w:szCs w:val="24"/>
          <w:highlight w:val="none"/>
          <w:lang w:eastAsia="zh-CN"/>
        </w:rPr>
        <w:t>资格审查表</w:t>
      </w:r>
      <w:r>
        <w:rPr>
          <w:rFonts w:hint="eastAsia" w:ascii="宋体" w:hAnsi="宋体"/>
          <w:b/>
          <w:bCs/>
          <w:color w:val="auto"/>
          <w:sz w:val="24"/>
          <w:szCs w:val="24"/>
          <w:highlight w:val="none"/>
        </w:rPr>
        <w:t>制作</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页码索引）</w:t>
      </w:r>
    </w:p>
    <w:tbl>
      <w:tblPr>
        <w:tblStyle w:val="19"/>
        <w:tblW w:w="9378"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81"/>
        <w:gridCol w:w="2605"/>
        <w:gridCol w:w="4490"/>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8" w:type="dxa"/>
            <w:vAlign w:val="center"/>
          </w:tcPr>
          <w:p>
            <w:pPr>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序号</w:t>
            </w:r>
          </w:p>
        </w:tc>
        <w:tc>
          <w:tcPr>
            <w:tcW w:w="3686" w:type="dxa"/>
            <w:gridSpan w:val="2"/>
            <w:vAlign w:val="center"/>
          </w:tcPr>
          <w:p>
            <w:pPr>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资格要求</w:t>
            </w:r>
          </w:p>
        </w:tc>
        <w:tc>
          <w:tcPr>
            <w:tcW w:w="4490" w:type="dxa"/>
            <w:vAlign w:val="center"/>
          </w:tcPr>
          <w:p>
            <w:pPr>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需提供的资料</w:t>
            </w:r>
          </w:p>
        </w:tc>
        <w:tc>
          <w:tcPr>
            <w:tcW w:w="594" w:type="dxa"/>
            <w:vAlign w:val="center"/>
          </w:tcPr>
          <w:p>
            <w:pPr>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608" w:type="dxa"/>
            <w:vMerge w:val="restart"/>
            <w:vAlign w:val="center"/>
          </w:tcPr>
          <w:p>
            <w:pPr>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081" w:type="dxa"/>
            <w:vMerge w:val="restart"/>
            <w:vAlign w:val="center"/>
          </w:tcPr>
          <w:p>
            <w:pPr>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Cs/>
                <w:color w:val="auto"/>
                <w:kern w:val="44"/>
                <w:sz w:val="24"/>
                <w:szCs w:val="24"/>
                <w:highlight w:val="none"/>
                <w:u w:val="none"/>
              </w:rPr>
              <w:t>满足《中华人民共和国政府采购法》第二十二条规定</w:t>
            </w:r>
          </w:p>
        </w:tc>
        <w:tc>
          <w:tcPr>
            <w:tcW w:w="2605"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具有独立承担民事责任的能力</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如响应供应商是企业（包括合伙企业），应提供在工商部门注册的有效“企业法人营业执照”或“营业执照”；如响应供应商是事业单位，应提供有效的“事业单位法人证书”；响应供应商是非企业专业服务机构的，应提供执业许可证等证明文件；如响应供应商是个体工商户，应提供有效的“个体工商户营业执照”；如响应供应商是自然人，应提供有效的自然人身份证明）。</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08"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1081"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具有良好的商业信誉和健全的财务会计制度；</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响应供应商是法人的，应提供上年度</w:t>
            </w:r>
            <w:r>
              <w:rPr>
                <w:rFonts w:hint="eastAsia" w:ascii="宋体" w:hAnsi="宋体" w:cs="宋体"/>
                <w:b w:val="0"/>
                <w:bCs w:val="0"/>
                <w:color w:val="auto"/>
                <w:sz w:val="24"/>
                <w:szCs w:val="24"/>
                <w:highlight w:val="none"/>
                <w:vertAlign w:val="baseline"/>
                <w:lang w:eastAsia="zh-CN"/>
              </w:rPr>
              <w:t>（</w:t>
            </w:r>
            <w:r>
              <w:rPr>
                <w:rFonts w:hint="eastAsia" w:ascii="宋体" w:hAnsi="宋体" w:cs="宋体"/>
                <w:b w:val="0"/>
                <w:bCs w:val="0"/>
                <w:color w:val="auto"/>
                <w:sz w:val="24"/>
                <w:szCs w:val="24"/>
                <w:highlight w:val="none"/>
                <w:vertAlign w:val="baseline"/>
                <w:lang w:val="en-US" w:eastAsia="zh-CN"/>
              </w:rPr>
              <w:t>2021</w:t>
            </w:r>
            <w:r>
              <w:rPr>
                <w:rFonts w:hint="eastAsia" w:ascii="宋体" w:hAnsi="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eastAsia="zh-CN"/>
              </w:rPr>
              <w:t>经审计的财务报告，其他组织和自然人，没有经审计的财务报告，提供年度财务报表或银行出具的资信证明。</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注：①成立年限按照营业执照成立日期推算，满1年及以上的供应商提供2020年</w:t>
            </w:r>
            <w:r>
              <w:rPr>
                <w:rFonts w:hint="eastAsia" w:ascii="宋体" w:hAnsi="宋体" w:cs="宋体"/>
                <w:b w:val="0"/>
                <w:bCs w:val="0"/>
                <w:color w:val="auto"/>
                <w:sz w:val="24"/>
                <w:szCs w:val="24"/>
                <w:highlight w:val="none"/>
                <w:vertAlign w:val="baseline"/>
                <w:lang w:eastAsia="zh-CN"/>
              </w:rPr>
              <w:t>或</w:t>
            </w:r>
            <w:r>
              <w:rPr>
                <w:rFonts w:hint="eastAsia" w:ascii="宋体" w:hAnsi="宋体" w:cs="宋体"/>
                <w:b w:val="0"/>
                <w:bCs w:val="0"/>
                <w:color w:val="auto"/>
                <w:sz w:val="24"/>
                <w:szCs w:val="24"/>
                <w:highlight w:val="none"/>
                <w:vertAlign w:val="baseline"/>
                <w:lang w:val="en-US" w:eastAsia="zh-CN"/>
              </w:rPr>
              <w:t>2021年年</w:t>
            </w:r>
            <w:r>
              <w:rPr>
                <w:rFonts w:hint="eastAsia" w:ascii="宋体" w:hAnsi="宋体" w:eastAsia="宋体" w:cs="宋体"/>
                <w:b w:val="0"/>
                <w:bCs w:val="0"/>
                <w:color w:val="auto"/>
                <w:sz w:val="24"/>
                <w:szCs w:val="24"/>
                <w:highlight w:val="none"/>
                <w:vertAlign w:val="baseline"/>
                <w:lang w:eastAsia="zh-CN"/>
              </w:rPr>
              <w:t>度财务报表；</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②成立年限按照营业执照成立日期推算，满半年单不足一年的供应商提供该半年度中任一季度的财务报表或该半年度的半年度财务报表；</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8"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1081"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具有履行合同所必需的设备和专业技术能力；</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由供应商提供书面承诺及声明，或提供相应证明材料。</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608"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1081"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有依法缴纳税收和社会保障资金的良好记录； </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由供应商对以下内容提供书面承诺及声明，或提供相应证明材料。供应商依法缴纳税收：本项目公告发布时间前</w:t>
            </w: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eastAsia="zh-CN"/>
              </w:rPr>
              <w:t>个月内（至少有1个月）缴纳税收的凭据（完税证、缴款书、印花税票、银行代扣（代缴）转账凭证等均可）；供应商依法缴纳社会保障资金：本项目公告发布时间前</w:t>
            </w: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eastAsia="zh-CN"/>
              </w:rPr>
              <w:t xml:space="preserve">个月内（至少有1个月）缴纳社会保险的凭据（专用收据或社会保险交纳清单）； </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 xml:space="preserve">供应商为其他组织或自然人的，也应满足以上要求； </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递交投标文件截止时间的当月成立但因税务机关原因导致其尚未依法缴纳税收的供应商，提供将依法缴纳税收承诺书原件（格式自拟），该承诺书视同税收缴纳凭据。递交投标文件截止时间的当月成立但因社会保障资金管理机关原因导致其尚未依法缴纳社会保障资金的供应商，提供将依法缴纳社会保障资金承诺书原件（格式自拟），该承诺书视同社会保险凭据。</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 xml:space="preserve">依法免税或不需要缴纳社会保障资金的供应商，具有相应文件证明其依法免税或不需要交纳社会保障资金。 </w:t>
            </w:r>
          </w:p>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备注：如果供应商同时提供了 1）书面承诺及声明、2）相应证明材料，且二者内容不一致的，评审专家有权任选其 中一种进行评审，由供应商自行承担一切后果。</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08"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1081"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参加政府采购活动前三年内，在经营活动中没有重大违法记录；</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由供应商提供书面承诺及声明，或提供相应证明材料。</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8"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1081" w:type="dxa"/>
            <w:vMerge w:val="continue"/>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法律、行政法规规定的其他条件。</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由供应商提供书面承诺及声明，或提供相应证明材料。</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08" w:type="dxa"/>
            <w:vAlign w:val="center"/>
          </w:tcPr>
          <w:p>
            <w:pPr>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081" w:type="dxa"/>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 w:val="0"/>
                <w:bCs w:val="0"/>
                <w:color w:val="auto"/>
                <w:sz w:val="24"/>
                <w:szCs w:val="24"/>
                <w:highlight w:val="none"/>
              </w:rPr>
            </w:pPr>
            <w:r>
              <w:rPr>
                <w:rFonts w:hint="eastAsia" w:ascii="宋体" w:hAnsi="宋体" w:eastAsia="宋体" w:cs="宋体"/>
                <w:bCs/>
                <w:color w:val="auto"/>
                <w:kern w:val="44"/>
                <w:sz w:val="24"/>
                <w:szCs w:val="24"/>
                <w:highlight w:val="none"/>
                <w:u w:val="none"/>
              </w:rPr>
              <w:t>单位负责人为同一人或者存在直接控股、管理关系的不同</w:t>
            </w:r>
            <w:r>
              <w:rPr>
                <w:rFonts w:hint="eastAsia" w:ascii="宋体" w:hAnsi="宋体" w:eastAsia="宋体" w:cs="宋体"/>
                <w:bCs/>
                <w:color w:val="auto"/>
                <w:kern w:val="44"/>
                <w:sz w:val="24"/>
                <w:szCs w:val="24"/>
                <w:highlight w:val="none"/>
                <w:u w:val="none"/>
                <w:lang w:eastAsia="zh-CN"/>
              </w:rPr>
              <w:t>响应供应商</w:t>
            </w:r>
            <w:r>
              <w:rPr>
                <w:rFonts w:hint="eastAsia" w:ascii="宋体" w:hAnsi="宋体" w:eastAsia="宋体" w:cs="宋体"/>
                <w:bCs/>
                <w:color w:val="auto"/>
                <w:kern w:val="44"/>
                <w:sz w:val="24"/>
                <w:szCs w:val="24"/>
                <w:highlight w:val="none"/>
                <w:u w:val="none"/>
              </w:rPr>
              <w:t>，不得参加本项目同一合同项下的政府采购活动。</w:t>
            </w:r>
          </w:p>
        </w:tc>
        <w:tc>
          <w:tcPr>
            <w:tcW w:w="4490" w:type="dxa"/>
          </w:tcPr>
          <w:p>
            <w:pP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详见《投标书》响应内容</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08" w:type="dxa"/>
            <w:vAlign w:val="center"/>
          </w:tcPr>
          <w:p>
            <w:pPr>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081" w:type="dxa"/>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rPr>
                <w:rFonts w:hint="eastAsia" w:ascii="宋体" w:hAnsi="宋体" w:eastAsia="宋体" w:cs="宋体"/>
                <w:bCs/>
                <w:color w:val="auto"/>
                <w:kern w:val="44"/>
                <w:sz w:val="24"/>
                <w:szCs w:val="24"/>
                <w:highlight w:val="none"/>
                <w:u w:val="none"/>
              </w:rPr>
            </w:pPr>
            <w:r>
              <w:rPr>
                <w:rFonts w:hint="eastAsia" w:ascii="宋体" w:hAnsi="宋体" w:eastAsia="宋体" w:cs="宋体"/>
                <w:bCs/>
                <w:color w:val="auto"/>
                <w:kern w:val="44"/>
                <w:sz w:val="24"/>
                <w:szCs w:val="24"/>
                <w:highlight w:val="none"/>
                <w:u w:val="none"/>
              </w:rPr>
              <w:t>为本采购项目提供整体设计、规范编制或者项目管理、监理、检测等服务的，不得再参加本项目的其他招标采购活动。</w:t>
            </w:r>
          </w:p>
        </w:tc>
        <w:tc>
          <w:tcPr>
            <w:tcW w:w="4490" w:type="dxa"/>
          </w:tcPr>
          <w:p>
            <w:pPr>
              <w:rPr>
                <w:rFonts w:hint="eastAsia" w:ascii="宋体" w:hAnsi="宋体" w:eastAsia="宋体" w:cs="宋体"/>
                <w:bCs/>
                <w:color w:val="auto"/>
                <w:kern w:val="44"/>
                <w:sz w:val="24"/>
                <w:szCs w:val="24"/>
                <w:highlight w:val="none"/>
                <w:u w:val="none"/>
              </w:rPr>
            </w:pPr>
            <w:r>
              <w:rPr>
                <w:rFonts w:hint="eastAsia" w:ascii="宋体" w:hAnsi="宋体" w:cs="宋体"/>
                <w:b w:val="0"/>
                <w:bCs w:val="0"/>
                <w:color w:val="auto"/>
                <w:sz w:val="24"/>
                <w:szCs w:val="24"/>
                <w:highlight w:val="none"/>
                <w:vertAlign w:val="baseline"/>
                <w:lang w:val="en-US" w:eastAsia="zh-CN"/>
              </w:rPr>
              <w:t>详见《投标书》响应内容</w:t>
            </w:r>
          </w:p>
        </w:tc>
        <w:tc>
          <w:tcPr>
            <w:tcW w:w="594" w:type="dxa"/>
          </w:tcPr>
          <w:p>
            <w:pPr>
              <w:rPr>
                <w:rFonts w:hint="eastAsia" w:ascii="宋体" w:hAnsi="宋体" w:eastAsia="宋体" w:cs="宋体"/>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08" w:type="dxa"/>
            <w:vAlign w:val="center"/>
          </w:tcPr>
          <w:p>
            <w:pPr>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1081" w:type="dxa"/>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jc w:val="both"/>
              <w:rPr>
                <w:rFonts w:hint="eastAsia" w:ascii="宋体" w:hAnsi="宋体" w:eastAsia="宋体" w:cs="宋体"/>
                <w:b w:val="0"/>
                <w:bCs w:val="0"/>
                <w:color w:val="auto"/>
                <w:sz w:val="24"/>
                <w:szCs w:val="24"/>
                <w:highlight w:val="none"/>
              </w:rPr>
            </w:pPr>
            <w:r>
              <w:rPr>
                <w:rFonts w:hint="eastAsia" w:ascii="宋体" w:hAnsi="宋体" w:eastAsia="宋体" w:cs="宋体"/>
                <w:bCs/>
                <w:color w:val="auto"/>
                <w:kern w:val="44"/>
                <w:sz w:val="24"/>
                <w:szCs w:val="24"/>
                <w:highlight w:val="none"/>
                <w:u w:val="none"/>
              </w:rPr>
              <w:t>未被列入失信被执行人、重大税收违法案件当事人名单，未被列入政府采购严重违法失信行为记录名单。</w:t>
            </w:r>
          </w:p>
        </w:tc>
        <w:tc>
          <w:tcPr>
            <w:tcW w:w="4490" w:type="dxa"/>
          </w:tcPr>
          <w:p>
            <w:pP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lang w:eastAsia="zh-CN"/>
              </w:rPr>
              <w:t>响应供应商</w:t>
            </w:r>
            <w:r>
              <w:rPr>
                <w:rFonts w:hint="eastAsia" w:ascii="宋体" w:hAnsi="宋体" w:eastAsia="宋体" w:cs="宋体"/>
                <w:b w:val="0"/>
                <w:bCs w:val="0"/>
                <w:color w:val="auto"/>
                <w:sz w:val="24"/>
                <w:szCs w:val="24"/>
                <w:highlight w:val="none"/>
              </w:rPr>
              <w:t>通过“信用中国”网站(www.creditchina.gov.cn)和中国政府采购网(www.ccgp.gov.cn)等渠道查询相关主体信用记录，均无不良失信记录</w:t>
            </w:r>
            <w:r>
              <w:rPr>
                <w:rFonts w:hint="eastAsia" w:ascii="宋体" w:hAnsi="宋体" w:eastAsia="宋体" w:cs="宋体"/>
                <w:b w:val="0"/>
                <w:bCs w:val="0"/>
                <w:color w:val="auto"/>
                <w:sz w:val="24"/>
                <w:szCs w:val="24"/>
                <w:highlight w:val="none"/>
                <w:vertAlign w:val="baseline"/>
                <w:lang w:eastAsia="zh-CN"/>
              </w:rPr>
              <w:t>。</w:t>
            </w:r>
          </w:p>
        </w:tc>
        <w:tc>
          <w:tcPr>
            <w:tcW w:w="594" w:type="dxa"/>
          </w:tcPr>
          <w:p>
            <w:pPr>
              <w:rPr>
                <w:rFonts w:hint="default"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08" w:type="dxa"/>
            <w:vAlign w:val="center"/>
          </w:tcPr>
          <w:p>
            <w:pPr>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081" w:type="dxa"/>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jc w:val="both"/>
              <w:rPr>
                <w:rFonts w:hint="eastAsia" w:ascii="宋体" w:hAnsi="宋体" w:eastAsia="宋体" w:cs="宋体"/>
                <w:bCs/>
                <w:color w:val="auto"/>
                <w:kern w:val="44"/>
                <w:sz w:val="24"/>
                <w:szCs w:val="24"/>
                <w:highlight w:val="none"/>
                <w:u w:val="none"/>
              </w:rPr>
            </w:pPr>
            <w:r>
              <w:rPr>
                <w:rFonts w:hint="eastAsia" w:ascii="宋体" w:hAnsi="宋体" w:eastAsia="宋体" w:cs="宋体"/>
                <w:bCs/>
                <w:color w:val="auto"/>
                <w:kern w:val="44"/>
                <w:sz w:val="24"/>
                <w:szCs w:val="24"/>
                <w:highlight w:val="none"/>
                <w:u w:val="none"/>
              </w:rPr>
              <w:t>本项目为专门面向中小微企业采购的项目</w:t>
            </w:r>
          </w:p>
        </w:tc>
        <w:tc>
          <w:tcPr>
            <w:tcW w:w="4490" w:type="dxa"/>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供应商须出具《中小企业声明函》</w:t>
            </w:r>
          </w:p>
        </w:tc>
        <w:tc>
          <w:tcPr>
            <w:tcW w:w="594" w:type="dxa"/>
          </w:tcPr>
          <w:p>
            <w:pPr>
              <w:rPr>
                <w:rFonts w:hint="default"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08" w:type="dxa"/>
            <w:vAlign w:val="center"/>
          </w:tcPr>
          <w:p>
            <w:pPr>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1081" w:type="dxa"/>
            <w:vAlign w:val="center"/>
          </w:tcPr>
          <w:p>
            <w:pPr>
              <w:jc w:val="center"/>
              <w:rPr>
                <w:rFonts w:hint="eastAsia" w:ascii="宋体" w:hAnsi="宋体" w:eastAsia="宋体" w:cs="宋体"/>
                <w:b w:val="0"/>
                <w:bCs w:val="0"/>
                <w:color w:val="auto"/>
                <w:sz w:val="24"/>
                <w:szCs w:val="24"/>
                <w:highlight w:val="none"/>
                <w:vertAlign w:val="baseline"/>
                <w:lang w:eastAsia="zh-CN"/>
              </w:rPr>
            </w:pPr>
          </w:p>
        </w:tc>
        <w:tc>
          <w:tcPr>
            <w:tcW w:w="2605" w:type="dxa"/>
          </w:tcPr>
          <w:p>
            <w:pPr>
              <w:jc w:val="both"/>
              <w:rPr>
                <w:rFonts w:hint="eastAsia" w:ascii="宋体" w:hAnsi="宋体" w:eastAsia="宋体" w:cs="宋体"/>
                <w:bCs/>
                <w:color w:val="auto"/>
                <w:kern w:val="44"/>
                <w:sz w:val="24"/>
                <w:szCs w:val="24"/>
                <w:highlight w:val="none"/>
                <w:u w:val="none"/>
              </w:rPr>
            </w:pPr>
            <w:r>
              <w:rPr>
                <w:rFonts w:hint="eastAsia" w:ascii="宋体" w:hAnsi="宋体" w:eastAsia="宋体" w:cs="宋体"/>
                <w:bCs/>
                <w:color w:val="auto"/>
                <w:kern w:val="44"/>
                <w:sz w:val="24"/>
                <w:szCs w:val="24"/>
                <w:highlight w:val="none"/>
                <w:u w:val="none"/>
              </w:rPr>
              <w:t>（1）具备工程监理</w:t>
            </w:r>
            <w:r>
              <w:rPr>
                <w:rFonts w:hint="eastAsia" w:ascii="宋体" w:hAnsi="宋体" w:cs="宋体"/>
                <w:bCs/>
                <w:color w:val="auto"/>
                <w:kern w:val="44"/>
                <w:sz w:val="24"/>
                <w:szCs w:val="24"/>
                <w:highlight w:val="none"/>
                <w:u w:val="none"/>
                <w:lang w:eastAsia="zh-CN"/>
              </w:rPr>
              <w:t>房屋建筑工程</w:t>
            </w:r>
            <w:r>
              <w:rPr>
                <w:rFonts w:hint="eastAsia" w:ascii="宋体" w:hAnsi="宋体" w:eastAsia="宋体" w:cs="宋体"/>
                <w:bCs/>
                <w:color w:val="auto"/>
                <w:kern w:val="44"/>
                <w:sz w:val="24"/>
                <w:szCs w:val="24"/>
                <w:highlight w:val="none"/>
                <w:u w:val="none"/>
              </w:rPr>
              <w:t>乙级及以上资质或监理综合资质。</w:t>
            </w:r>
          </w:p>
          <w:p>
            <w:pPr>
              <w:jc w:val="both"/>
              <w:rPr>
                <w:rFonts w:hint="eastAsia" w:ascii="宋体" w:hAnsi="宋体" w:eastAsia="宋体" w:cs="宋体"/>
                <w:bCs/>
                <w:color w:val="auto"/>
                <w:kern w:val="44"/>
                <w:sz w:val="24"/>
                <w:szCs w:val="24"/>
                <w:highlight w:val="none"/>
                <w:u w:val="none"/>
              </w:rPr>
            </w:pPr>
            <w:r>
              <w:rPr>
                <w:rFonts w:hint="eastAsia" w:ascii="宋体" w:hAnsi="宋体" w:eastAsia="宋体" w:cs="宋体"/>
                <w:bCs/>
                <w:color w:val="auto"/>
                <w:kern w:val="44"/>
                <w:sz w:val="24"/>
                <w:szCs w:val="24"/>
                <w:highlight w:val="none"/>
                <w:u w:val="none"/>
              </w:rPr>
              <w:t>（2）供应商拟派总监理工程师须具备</w:t>
            </w:r>
            <w:r>
              <w:rPr>
                <w:rFonts w:hint="eastAsia" w:ascii="宋体" w:hAnsi="宋体" w:cs="宋体"/>
                <w:bCs/>
                <w:color w:val="auto"/>
                <w:kern w:val="44"/>
                <w:sz w:val="24"/>
                <w:szCs w:val="24"/>
                <w:highlight w:val="none"/>
                <w:u w:val="none"/>
                <w:lang w:eastAsia="zh-CN"/>
              </w:rPr>
              <w:t>房屋建筑工程</w:t>
            </w:r>
            <w:r>
              <w:rPr>
                <w:rFonts w:hint="eastAsia" w:ascii="宋体" w:hAnsi="宋体" w:eastAsia="宋体" w:cs="宋体"/>
                <w:bCs/>
                <w:color w:val="auto"/>
                <w:kern w:val="44"/>
                <w:sz w:val="24"/>
                <w:szCs w:val="24"/>
                <w:highlight w:val="none"/>
                <w:u w:val="none"/>
              </w:rPr>
              <w:t>专业注册监理工程师执业证书，需提供连续近3个月的社保证明（社保查询个人明细截图）</w:t>
            </w:r>
          </w:p>
        </w:tc>
        <w:tc>
          <w:tcPr>
            <w:tcW w:w="4490" w:type="dxa"/>
          </w:tcPr>
          <w:p>
            <w:pP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提供证明材料</w:t>
            </w:r>
          </w:p>
        </w:tc>
        <w:tc>
          <w:tcPr>
            <w:tcW w:w="594" w:type="dxa"/>
          </w:tcPr>
          <w:p>
            <w:pPr>
              <w:rPr>
                <w:rFonts w:hint="default" w:ascii="宋体" w:hAnsi="宋体" w:eastAsia="宋体" w:cs="宋体"/>
                <w:b w:val="0"/>
                <w:bCs w:val="0"/>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所有证明材料须清晰可辨认，如因证明材料模糊无法辨认，缺页、漏页导致无法进行评审认定的责任由响应供应商自负。如发现弄虚作假将按照有关规定严肃处理。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证明材料仅限于投标单位本身，参股或控股单位及独立法人子公司的材料不能作为证明材料，但投标单位兼并的企业的材料可作为证明材料。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3.对于响应文件中任意一条不满足上表要求的将导致其投标无效，不得进入下一轮评审。</w:t>
      </w:r>
    </w:p>
    <w:p>
      <w:pP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br w:type="page"/>
      </w:r>
    </w:p>
    <w:p>
      <w:pPr>
        <w:numPr>
          <w:ilvl w:val="0"/>
          <w:numId w:val="0"/>
        </w:numPr>
        <w:spacing w:line="360" w:lineRule="auto"/>
        <w:ind w:left="120" w:leftChars="0"/>
        <w:jc w:val="both"/>
        <w:outlineLvl w:val="2"/>
        <w:rPr>
          <w:rFonts w:ascii="宋体" w:hAnsi="宋体"/>
          <w:b/>
          <w:bCs/>
          <w:color w:val="auto"/>
          <w:sz w:val="24"/>
          <w:szCs w:val="24"/>
          <w:highlight w:val="none"/>
        </w:rPr>
      </w:pPr>
      <w:r>
        <w:rPr>
          <w:rFonts w:hint="eastAsia" w:ascii="宋体" w:hAnsi="宋体"/>
          <w:b/>
          <w:bCs/>
          <w:color w:val="auto"/>
          <w:sz w:val="24"/>
          <w:szCs w:val="24"/>
          <w:highlight w:val="none"/>
          <w:lang w:eastAsia="zh-CN"/>
        </w:rPr>
        <w:t>附表</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符合性审查表</w:t>
      </w:r>
    </w:p>
    <w:tbl>
      <w:tblPr>
        <w:tblStyle w:val="19"/>
        <w:tblW w:w="9178"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24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7249"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审核内容</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无备选方案，且</w:t>
            </w:r>
            <w:r>
              <w:rPr>
                <w:rFonts w:hint="eastAsia" w:ascii="宋体" w:hAnsi="宋体" w:cs="宋体"/>
                <w:color w:val="auto"/>
                <w:sz w:val="24"/>
                <w:szCs w:val="24"/>
                <w:highlight w:val="none"/>
                <w:lang w:val="en-US" w:eastAsia="zh-CN"/>
              </w:rPr>
              <w:t>只</w:t>
            </w:r>
            <w:r>
              <w:rPr>
                <w:rFonts w:hint="eastAsia" w:ascii="宋体" w:hAnsi="宋体" w:eastAsia="宋体" w:cs="宋体"/>
                <w:color w:val="auto"/>
                <w:sz w:val="24"/>
                <w:szCs w:val="24"/>
                <w:highlight w:val="none"/>
                <w:lang w:val="en-US" w:eastAsia="zh-CN"/>
              </w:rPr>
              <w:t>有一个报价。</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投标有效期满足招标文件的要求。</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提供《投标报价明细表》，投标总价中不包含招标文件要求以外的内容，也不得缺漏招标文件要求的内容。</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评标委员会认为投标人的报价明显低于其他通过符合性审查投标人的报价，有可能影响产品质量或者不能诚信履约的，能评标现场合理的时间内提供书面说明，证明其报价合理性的。（如有）</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投标人未有下列情形之一的：</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不同投标人的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由同一单位或者个人编制；</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不同投标人委托同一单位或者个人办理投标事宜；</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不同投标人的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载明的项目管理成员或者联系人员为同一人；</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不同投标人的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异常一致或者投标报价呈规律性差异；</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不同投标人的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相互混装。</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8" w:type="dxa"/>
            <w:vAlign w:val="center"/>
          </w:tcPr>
          <w:p>
            <w:pPr>
              <w:pStyle w:val="2"/>
              <w:keepNext w:val="0"/>
              <w:keepLines w:val="0"/>
              <w:suppressLineNumbers w:val="0"/>
              <w:spacing w:before="0" w:beforeAutospacing="0" w:after="0" w:afterAutospacing="0"/>
              <w:ind w:left="0" w:leftChars="0" w:right="0" w:firstLine="0" w:firstLineChars="0"/>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724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招标文件中</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lang w:val="en-US" w:eastAsia="zh-CN"/>
              </w:rPr>
              <w:t>规定被视为无效投标其它条款的。</w:t>
            </w:r>
            <w:r>
              <w:rPr>
                <w:rFonts w:hint="eastAsia" w:ascii="宋体" w:hAnsi="宋体" w:eastAsia="宋体" w:cs="宋体"/>
                <w:color w:val="auto"/>
                <w:sz w:val="24"/>
                <w:szCs w:val="24"/>
                <w:highlight w:val="none"/>
                <w:lang w:val="en-US" w:eastAsia="zh-CN"/>
              </w:rPr>
              <w:tab/>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06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审核结论</w:t>
            </w:r>
          </w:p>
        </w:tc>
        <w:tc>
          <w:tcPr>
            <w:tcW w:w="1111" w:type="dxa"/>
            <w:vAlign w:val="center"/>
          </w:tcPr>
          <w:p>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eastAsia="zh-CN"/>
        </w:rPr>
        <w:t>备注：</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1.评标委员会对通过资格审查的投标单位，根据上表进行符合性审查。</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2.满足要求的条款打“√”，否则打“×”。</w:t>
      </w:r>
    </w:p>
    <w:p>
      <w:pPr>
        <w:rPr>
          <w:rFonts w:hint="eastAsia" w:ascii="宋体" w:cs="宋体"/>
          <w:b/>
          <w:bCs/>
          <w:color w:val="auto"/>
          <w:kern w:val="0"/>
          <w:sz w:val="27"/>
          <w:szCs w:val="27"/>
          <w:highlight w:val="none"/>
        </w:rPr>
      </w:pPr>
      <w:r>
        <w:rPr>
          <w:rFonts w:hint="eastAsia" w:ascii="宋体" w:hAnsi="宋体" w:cs="宋体"/>
          <w:b w:val="0"/>
          <w:bCs w:val="0"/>
          <w:color w:val="auto"/>
          <w:sz w:val="24"/>
          <w:szCs w:val="24"/>
          <w:highlight w:val="none"/>
          <w:lang w:val="en-US" w:eastAsia="zh-CN"/>
        </w:rPr>
        <w:t>3.对于响应文件中任意一条不满足上表要求的将导致其投标无效，不得进入下一轮评审。</w:t>
      </w:r>
      <w:r>
        <w:rPr>
          <w:rFonts w:hint="eastAsia" w:ascii="宋体" w:cs="宋体"/>
          <w:b/>
          <w:bCs/>
          <w:color w:val="auto"/>
          <w:kern w:val="0"/>
          <w:sz w:val="27"/>
          <w:szCs w:val="27"/>
          <w:highlight w:val="none"/>
        </w:rPr>
        <w:br w:type="page"/>
      </w:r>
    </w:p>
    <w:p>
      <w:pPr>
        <w:autoSpaceDE w:val="0"/>
        <w:autoSpaceDN w:val="0"/>
        <w:adjustRightInd w:val="0"/>
        <w:snapToGrid w:val="0"/>
        <w:spacing w:line="360" w:lineRule="auto"/>
        <w:jc w:val="left"/>
        <w:outlineLvl w:val="1"/>
        <w:rPr>
          <w:rFonts w:ascii="宋体" w:cs="宋体"/>
          <w:b/>
          <w:bCs/>
          <w:color w:val="auto"/>
          <w:kern w:val="0"/>
          <w:sz w:val="27"/>
          <w:szCs w:val="27"/>
          <w:highlight w:val="none"/>
        </w:rPr>
      </w:pPr>
      <w:r>
        <w:rPr>
          <w:rFonts w:hint="eastAsia" w:ascii="宋体" w:cs="宋体"/>
          <w:b/>
          <w:bCs/>
          <w:color w:val="auto"/>
          <w:kern w:val="0"/>
          <w:sz w:val="27"/>
          <w:szCs w:val="27"/>
          <w:highlight w:val="none"/>
        </w:rPr>
        <w:t>二</w:t>
      </w:r>
      <w:r>
        <w:rPr>
          <w:rFonts w:ascii="宋体" w:cs="宋体"/>
          <w:b/>
          <w:bCs/>
          <w:color w:val="auto"/>
          <w:kern w:val="0"/>
          <w:sz w:val="27"/>
          <w:szCs w:val="27"/>
          <w:highlight w:val="none"/>
        </w:rPr>
        <w:t>.</w:t>
      </w:r>
      <w:r>
        <w:rPr>
          <w:rFonts w:hint="eastAsia" w:ascii="宋体" w:cs="宋体"/>
          <w:b/>
          <w:bCs/>
          <w:color w:val="auto"/>
          <w:kern w:val="0"/>
          <w:sz w:val="27"/>
          <w:szCs w:val="27"/>
          <w:highlight w:val="none"/>
        </w:rPr>
        <w:t>评定办法</w:t>
      </w:r>
    </w:p>
    <w:p>
      <w:pPr>
        <w:spacing w:line="360" w:lineRule="auto"/>
        <w:outlineLvl w:val="2"/>
        <w:rPr>
          <w:rFonts w:ascii="宋体" w:cs="Times New Roman"/>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磋商小组</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磋商小组组成：磋商小组由采购人代表（也可不委派）和政府采购评审专家库中随机抽取的技术经济法律专家</w:t>
      </w:r>
      <w:r>
        <w:rPr>
          <w:rFonts w:ascii="宋体" w:hAnsi="宋体" w:cs="宋体"/>
          <w:color w:val="auto"/>
          <w:sz w:val="24"/>
          <w:szCs w:val="24"/>
          <w:highlight w:val="none"/>
        </w:rPr>
        <w:t>3</w:t>
      </w:r>
      <w:r>
        <w:rPr>
          <w:rFonts w:hint="eastAsia" w:ascii="宋体" w:hAnsi="宋体" w:cs="宋体"/>
          <w:color w:val="auto"/>
          <w:sz w:val="24"/>
          <w:szCs w:val="24"/>
          <w:highlight w:val="none"/>
        </w:rPr>
        <w:t>人或以上单数组成。</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磋商小组组长：磋商小组设组长</w:t>
      </w:r>
      <w:r>
        <w:rPr>
          <w:rFonts w:ascii="宋体" w:hAnsi="宋体" w:cs="宋体"/>
          <w:color w:val="auto"/>
          <w:sz w:val="24"/>
          <w:szCs w:val="24"/>
          <w:highlight w:val="none"/>
        </w:rPr>
        <w:t>1</w:t>
      </w:r>
      <w:r>
        <w:rPr>
          <w:rFonts w:hint="eastAsia" w:ascii="宋体" w:hAnsi="宋体" w:cs="宋体"/>
          <w:color w:val="auto"/>
          <w:sz w:val="24"/>
          <w:szCs w:val="24"/>
          <w:highlight w:val="none"/>
        </w:rPr>
        <w:t>名，由磋商小组全体成员共同推选产生。磋商小组组长负责组织评标活动，与其他评委有同等表决权。</w:t>
      </w:r>
    </w:p>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磋商小组负责评定工作，并根据磋商文件的要求对响应文件进行审查、质疑、评估和比较。</w:t>
      </w:r>
    </w:p>
    <w:p>
      <w:pPr>
        <w:spacing w:line="360" w:lineRule="auto"/>
        <w:ind w:firstLine="480"/>
        <w:rPr>
          <w:rFonts w:ascii="宋体" w:cs="Times New Roman"/>
          <w:color w:val="auto"/>
          <w:sz w:val="24"/>
          <w:szCs w:val="24"/>
          <w:highlight w:val="none"/>
        </w:rPr>
      </w:pPr>
    </w:p>
    <w:p>
      <w:pPr>
        <w:tabs>
          <w:tab w:val="left" w:pos="540"/>
        </w:tabs>
        <w:spacing w:line="360" w:lineRule="auto"/>
        <w:outlineLvl w:val="2"/>
        <w:rPr>
          <w:rFonts w:ascii="宋体" w:cs="Times New Roman"/>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初步审查标准</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资格性审查标准：见评定办法前附表</w:t>
      </w:r>
      <w:r>
        <w:rPr>
          <w:rFonts w:hint="eastAsia" w:ascii="宋体" w:hAnsi="宋体" w:cs="宋体"/>
          <w:color w:val="auto"/>
          <w:sz w:val="24"/>
          <w:szCs w:val="24"/>
          <w:highlight w:val="none"/>
          <w:lang w:eastAsia="zh-CN"/>
        </w:rPr>
        <w:t>附表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符合性审查标准：见评定办法前附表</w:t>
      </w:r>
      <w:r>
        <w:rPr>
          <w:rFonts w:hint="eastAsia" w:ascii="宋体" w:hAnsi="宋体" w:cs="宋体"/>
          <w:color w:val="auto"/>
          <w:sz w:val="24"/>
          <w:szCs w:val="24"/>
          <w:highlight w:val="none"/>
          <w:lang w:eastAsia="zh-CN"/>
        </w:rPr>
        <w:t>附表</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2.3</w:t>
      </w:r>
      <w:r>
        <w:rPr>
          <w:rFonts w:hint="eastAsia" w:ascii="宋体" w:hAnsi="宋体" w:cs="宋体"/>
          <w:color w:val="auto"/>
          <w:sz w:val="24"/>
          <w:szCs w:val="24"/>
          <w:highlight w:val="none"/>
        </w:rPr>
        <w:t>确定供应商进行最后报价：见评定方法前附表。</w:t>
      </w:r>
    </w:p>
    <w:p>
      <w:pPr>
        <w:tabs>
          <w:tab w:val="left" w:pos="540"/>
        </w:tabs>
        <w:spacing w:line="360" w:lineRule="auto"/>
        <w:rPr>
          <w:rFonts w:ascii="宋体" w:cs="Times New Roman"/>
          <w:color w:val="auto"/>
          <w:sz w:val="24"/>
          <w:szCs w:val="24"/>
          <w:highlight w:val="none"/>
        </w:rPr>
      </w:pPr>
    </w:p>
    <w:p>
      <w:pPr>
        <w:tabs>
          <w:tab w:val="left" w:pos="540"/>
        </w:tabs>
        <w:spacing w:line="360" w:lineRule="auto"/>
        <w:outlineLvl w:val="2"/>
        <w:rPr>
          <w:rFonts w:ascii="宋体" w:cs="Times New Roman"/>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评定方法：</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具体量化打分标准</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3.1.1</w:t>
      </w:r>
      <w:r>
        <w:rPr>
          <w:rFonts w:hint="eastAsia" w:ascii="宋体" w:hAnsi="宋体" w:cs="宋体"/>
          <w:color w:val="auto"/>
          <w:sz w:val="24"/>
          <w:szCs w:val="24"/>
          <w:highlight w:val="none"/>
        </w:rPr>
        <w:t>本次评定指标设置为报价、技术、商务三部分。</w:t>
      </w:r>
    </w:p>
    <w:p>
      <w:pPr>
        <w:spacing w:line="360" w:lineRule="auto"/>
        <w:rPr>
          <w:rFonts w:ascii="宋体" w:cs="Times New Roman"/>
          <w:b/>
          <w:bCs/>
          <w:color w:val="auto"/>
          <w:sz w:val="24"/>
          <w:szCs w:val="24"/>
          <w:highlight w:val="none"/>
        </w:rPr>
      </w:pPr>
      <w:r>
        <w:rPr>
          <w:rFonts w:ascii="宋体" w:hAnsi="宋体" w:cs="宋体"/>
          <w:color w:val="auto"/>
          <w:sz w:val="24"/>
          <w:szCs w:val="24"/>
          <w:highlight w:val="none"/>
        </w:rPr>
        <w:t>3.1.2</w:t>
      </w:r>
      <w:r>
        <w:rPr>
          <w:rFonts w:hint="eastAsia" w:ascii="宋体" w:hAnsi="宋体" w:cs="宋体"/>
          <w:color w:val="auto"/>
          <w:sz w:val="24"/>
          <w:szCs w:val="24"/>
          <w:highlight w:val="none"/>
        </w:rPr>
        <w:t>报价部分：确定为实质上响应磋商文件要求的供应商最后报价。</w:t>
      </w:r>
    </w:p>
    <w:p>
      <w:pPr>
        <w:pStyle w:val="6"/>
        <w:spacing w:line="360" w:lineRule="auto"/>
        <w:ind w:firstLine="0"/>
        <w:rPr>
          <w:rFonts w:ascii="宋体" w:cs="Times New Roman"/>
          <w:color w:val="auto"/>
          <w:sz w:val="24"/>
          <w:szCs w:val="24"/>
          <w:highlight w:val="none"/>
        </w:rPr>
      </w:pPr>
      <w:r>
        <w:rPr>
          <w:rFonts w:ascii="宋体" w:hAnsi="宋体" w:cs="宋体"/>
          <w:color w:val="auto"/>
          <w:sz w:val="24"/>
          <w:szCs w:val="24"/>
          <w:highlight w:val="none"/>
        </w:rPr>
        <w:t>3.1.3</w:t>
      </w:r>
      <w:r>
        <w:rPr>
          <w:rFonts w:hint="eastAsia" w:ascii="宋体" w:hAnsi="宋体" w:cs="宋体"/>
          <w:color w:val="auto"/>
          <w:sz w:val="24"/>
          <w:szCs w:val="24"/>
          <w:highlight w:val="none"/>
        </w:rPr>
        <w:t>技术部分：磋商小组只对确定为实质上响应磋商文件要求的投标按照评分标准进行打分，详见评分细则。</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3.1.4</w:t>
      </w:r>
      <w:r>
        <w:rPr>
          <w:rFonts w:hint="eastAsia" w:ascii="宋体" w:hAnsi="宋体" w:cs="宋体"/>
          <w:color w:val="auto"/>
          <w:sz w:val="24"/>
          <w:szCs w:val="24"/>
          <w:highlight w:val="none"/>
        </w:rPr>
        <w:t>商务部分：磋商小组只对确定为实质上响应磋商文件要求的投标按照评分标准进行打分，详见评分细则。</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3.1.5</w:t>
      </w:r>
      <w:r>
        <w:rPr>
          <w:rFonts w:hint="eastAsia" w:ascii="宋体" w:hAnsi="宋体" w:cs="宋体"/>
          <w:color w:val="auto"/>
          <w:sz w:val="24"/>
          <w:szCs w:val="24"/>
          <w:highlight w:val="none"/>
        </w:rPr>
        <w:t>每个评委须认真审查各供应商的磋商文件以及需打分的每个项目，且按要求打分，评委评分表采用记名方式。</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其它见评定办法前附表。</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综合评分法：见《评分表》。</w:t>
      </w:r>
    </w:p>
    <w:p>
      <w:pPr>
        <w:spacing w:line="360" w:lineRule="auto"/>
        <w:rPr>
          <w:rFonts w:ascii="宋体" w:cs="Times New Roman"/>
          <w:color w:val="auto"/>
          <w:sz w:val="24"/>
          <w:szCs w:val="24"/>
          <w:highlight w:val="none"/>
        </w:rPr>
      </w:pPr>
    </w:p>
    <w:p>
      <w:pPr>
        <w:tabs>
          <w:tab w:val="left" w:pos="540"/>
        </w:tabs>
        <w:spacing w:line="360" w:lineRule="auto"/>
        <w:outlineLvl w:val="2"/>
        <w:rPr>
          <w:rFonts w:ascii="宋体" w:cs="Times New Roman"/>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评定结果</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经磋商确定最终采购需求和提交最后报价的供应商后，由磋商小组采用综合评分法对提交最后报价的供应商的响应文件和最后报价进行综合评分。</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计分办法</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 xml:space="preserve">4.2.1 </w:t>
      </w:r>
      <w:r>
        <w:rPr>
          <w:rFonts w:hint="eastAsia" w:ascii="宋体" w:hAnsi="宋体" w:cs="宋体"/>
          <w:color w:val="auto"/>
          <w:sz w:val="24"/>
          <w:szCs w:val="24"/>
          <w:highlight w:val="none"/>
        </w:rPr>
        <w:t>由磋商小组负责打分统计工作、汇总及复核，采购代理机构负责审核。</w:t>
      </w:r>
    </w:p>
    <w:p>
      <w:pPr>
        <w:autoSpaceDE w:val="0"/>
        <w:autoSpaceDN w:val="0"/>
        <w:adjustRightInd w:val="0"/>
        <w:spacing w:line="360" w:lineRule="auto"/>
        <w:rPr>
          <w:rFonts w:ascii="宋体" w:cs="Times New Roman"/>
          <w:color w:val="auto"/>
          <w:sz w:val="24"/>
          <w:szCs w:val="24"/>
          <w:highlight w:val="none"/>
        </w:rPr>
      </w:pPr>
      <w:r>
        <w:rPr>
          <w:rFonts w:ascii="宋体" w:hAnsi="宋体" w:cs="宋体"/>
          <w:color w:val="auto"/>
          <w:sz w:val="24"/>
          <w:szCs w:val="24"/>
          <w:highlight w:val="none"/>
        </w:rPr>
        <w:t xml:space="preserve">4.2.2 </w:t>
      </w:r>
      <w:r>
        <w:rPr>
          <w:rFonts w:hint="eastAsia" w:ascii="宋体" w:hAnsi="宋体" w:cs="宋体"/>
          <w:color w:val="auto"/>
          <w:sz w:val="24"/>
          <w:szCs w:val="24"/>
          <w:highlight w:val="none"/>
        </w:rPr>
        <w:t>各供应商的最终得分为各评委所评定分数的算术平均值。</w:t>
      </w:r>
    </w:p>
    <w:p>
      <w:pPr>
        <w:autoSpaceDE w:val="0"/>
        <w:autoSpaceDN w:val="0"/>
        <w:adjustRightInd w:val="0"/>
        <w:spacing w:line="360" w:lineRule="auto"/>
        <w:rPr>
          <w:rFonts w:ascii="宋体" w:cs="Times New Roman"/>
          <w:color w:val="auto"/>
          <w:sz w:val="24"/>
          <w:szCs w:val="24"/>
          <w:highlight w:val="none"/>
        </w:rPr>
      </w:pPr>
      <w:r>
        <w:rPr>
          <w:rFonts w:ascii="宋体" w:hAnsi="宋体" w:cs="宋体"/>
          <w:color w:val="auto"/>
          <w:sz w:val="24"/>
          <w:szCs w:val="24"/>
          <w:highlight w:val="none"/>
        </w:rPr>
        <w:t xml:space="preserve">4.2.3 </w:t>
      </w:r>
      <w:r>
        <w:rPr>
          <w:rFonts w:hint="eastAsia" w:ascii="宋体" w:hAnsi="宋体" w:cs="宋体"/>
          <w:color w:val="auto"/>
          <w:sz w:val="24"/>
          <w:szCs w:val="24"/>
          <w:highlight w:val="none"/>
        </w:rPr>
        <w:t>各项统计、评分结果均按四舍五入的方法精确到小数点后</w:t>
      </w:r>
      <w:r>
        <w:rPr>
          <w:rFonts w:ascii="宋体" w:hAnsi="宋体" w:cs="宋体"/>
          <w:color w:val="auto"/>
          <w:sz w:val="24"/>
          <w:szCs w:val="24"/>
          <w:highlight w:val="none"/>
        </w:rPr>
        <w:t>2</w:t>
      </w:r>
      <w:r>
        <w:rPr>
          <w:rFonts w:hint="eastAsia" w:ascii="宋体" w:hAnsi="宋体" w:cs="宋体"/>
          <w:color w:val="auto"/>
          <w:sz w:val="24"/>
          <w:szCs w:val="24"/>
          <w:highlight w:val="none"/>
        </w:rPr>
        <w:t>位。</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4.2.4</w:t>
      </w:r>
      <w:r>
        <w:rPr>
          <w:rFonts w:hint="eastAsia" w:ascii="宋体" w:hAnsi="宋体" w:cs="宋体"/>
          <w:color w:val="auto"/>
          <w:sz w:val="24"/>
          <w:szCs w:val="24"/>
          <w:highlight w:val="none"/>
        </w:rPr>
        <w:t>最终名次按各供应商最终得分高低依次排序确定名次。</w:t>
      </w:r>
    </w:p>
    <w:p>
      <w:pPr>
        <w:spacing w:line="360" w:lineRule="auto"/>
        <w:rPr>
          <w:rFonts w:ascii="宋体" w:cs="Times New Roman"/>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评标结果</w:t>
      </w:r>
    </w:p>
    <w:p>
      <w:pPr>
        <w:pStyle w:val="6"/>
        <w:spacing w:line="360" w:lineRule="auto"/>
        <w:ind w:firstLine="0"/>
        <w:rPr>
          <w:rFonts w:ascii="宋体" w:cs="Times New Roman"/>
          <w:color w:val="auto"/>
          <w:sz w:val="24"/>
          <w:szCs w:val="24"/>
          <w:highlight w:val="none"/>
        </w:rPr>
      </w:pPr>
      <w:r>
        <w:rPr>
          <w:rFonts w:ascii="宋体" w:hAnsi="宋体" w:cs="宋体"/>
          <w:color w:val="auto"/>
          <w:sz w:val="24"/>
          <w:szCs w:val="24"/>
          <w:highlight w:val="none"/>
        </w:rPr>
        <w:t>4.3.1</w:t>
      </w:r>
      <w:r>
        <w:rPr>
          <w:rFonts w:hint="eastAsia" w:ascii="宋体" w:hAnsi="宋体" w:cs="宋体"/>
          <w:color w:val="auto"/>
          <w:sz w:val="24"/>
          <w:szCs w:val="24"/>
          <w:highlight w:val="none"/>
        </w:rPr>
        <w:t>磋商小组根据供应商的得分，按从高到低的顺序推荐候选人，由采购人按照法律法规及磋商文件的有关规定确定成交供应商。</w:t>
      </w:r>
    </w:p>
    <w:p>
      <w:pPr>
        <w:tabs>
          <w:tab w:val="left" w:pos="540"/>
        </w:tabs>
        <w:spacing w:line="360" w:lineRule="auto"/>
        <w:rPr>
          <w:rFonts w:ascii="宋体" w:cs="Times New Roman"/>
          <w:color w:val="auto"/>
          <w:sz w:val="24"/>
          <w:szCs w:val="24"/>
          <w:highlight w:val="none"/>
        </w:rPr>
      </w:pPr>
      <w:r>
        <w:rPr>
          <w:rFonts w:ascii="宋体" w:hAnsi="宋体" w:cs="宋体"/>
          <w:color w:val="auto"/>
          <w:sz w:val="24"/>
          <w:szCs w:val="24"/>
          <w:highlight w:val="none"/>
        </w:rPr>
        <w:t>4</w:t>
      </w:r>
      <w:r>
        <w:rPr>
          <w:rFonts w:asci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完成评定后，磋商小组须在评审结果推荐意见上共同签字。</w:t>
      </w:r>
    </w:p>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政府采购政策扶持企业</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依据《政府采购促进中小企业发展管理办法》（财库[2020]46号），在采购项目中，由小微企业承建的，供应商应出具《中小企业声明函》，并对声明函的真实性负责，投标供应商出具的《中小企业声明函》内容不实的，属于提供虚假材料谋取中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依据《三部门联合发布关于促进残疾人就业政府采购政策的通知》（财库〔2017〕141 号），残疾人福利性单位视同小型、微型企业，但应当提供《残疾人福利性单位声明函》，并对声明的真实性负责。评标委员会依据《《残疾人福利性单位声明函》或监狱企业证明文件，在价格评审时对小型和微型企业服务的价格给予5%的扣除，以调整后的价格计算评标基准价和投标报价。此项政府采购政策只针对价格部分的评审，不作为其他依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 政府采购合同融资政策。参与政府采购活动的中小微企业,在获得政府采购中标（成交）通知书后,可以向开展政府采购合同融资业务的金融机构提出申请,金融机构依据政府采购中标（成交）通知书和政府采购合同,为中小微企业提供融资服务。</w:t>
      </w:r>
    </w:p>
    <w:p>
      <w:pP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6.其它</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6.1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评分表（根据评分表制作目录索引）</w:t>
      </w:r>
    </w:p>
    <w:bookmarkEnd w:id="270"/>
    <w:p>
      <w:pPr>
        <w:jc w:val="center"/>
        <w:outlineLvl w:val="9"/>
        <w:rPr>
          <w:rStyle w:val="28"/>
          <w:rFonts w:hint="eastAsia"/>
          <w:b w:val="0"/>
          <w:color w:val="auto"/>
          <w:szCs w:val="22"/>
          <w:highlight w:val="none"/>
          <w:lang w:val="en-US" w:eastAsia="zh-CN"/>
        </w:rPr>
      </w:pPr>
      <w:r>
        <w:rPr>
          <w:rStyle w:val="28"/>
          <w:rFonts w:hint="eastAsia"/>
          <w:b w:val="0"/>
          <w:color w:val="auto"/>
          <w:szCs w:val="22"/>
          <w:highlight w:val="none"/>
          <w:lang w:val="en-US" w:eastAsia="zh-CN"/>
        </w:rPr>
        <w:t xml:space="preserve">  </w:t>
      </w:r>
    </w:p>
    <w:tbl>
      <w:tblPr>
        <w:tblStyle w:val="18"/>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16"/>
        <w:gridCol w:w="1592"/>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jc w:val="center"/>
        </w:trPr>
        <w:tc>
          <w:tcPr>
            <w:tcW w:w="627" w:type="dxa"/>
            <w:noWrap w:val="0"/>
            <w:vAlign w:val="center"/>
          </w:tcPr>
          <w:p>
            <w:pPr>
              <w:adjustRightInd w:val="0"/>
              <w:snapToGrid w:val="0"/>
              <w:spacing w:line="240" w:lineRule="exact"/>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评标项目</w:t>
            </w:r>
          </w:p>
        </w:tc>
        <w:tc>
          <w:tcPr>
            <w:tcW w:w="816" w:type="dxa"/>
            <w:noWrap w:val="0"/>
            <w:vAlign w:val="center"/>
          </w:tcPr>
          <w:p>
            <w:pPr>
              <w:adjustRightInd w:val="0"/>
              <w:snapToGrid w:val="0"/>
              <w:spacing w:line="240" w:lineRule="exact"/>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分值</w:t>
            </w:r>
          </w:p>
        </w:tc>
        <w:tc>
          <w:tcPr>
            <w:tcW w:w="1592" w:type="dxa"/>
            <w:noWrap w:val="0"/>
            <w:vAlign w:val="center"/>
          </w:tcPr>
          <w:p>
            <w:pPr>
              <w:adjustRightInd w:val="0"/>
              <w:snapToGrid w:val="0"/>
              <w:spacing w:line="240" w:lineRule="exact"/>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评标分项</w:t>
            </w:r>
          </w:p>
        </w:tc>
        <w:tc>
          <w:tcPr>
            <w:tcW w:w="5955" w:type="dxa"/>
            <w:noWrap w:val="0"/>
            <w:vAlign w:val="center"/>
          </w:tcPr>
          <w:p>
            <w:pPr>
              <w:spacing w:line="240" w:lineRule="exact"/>
              <w:jc w:val="center"/>
              <w:rPr>
                <w:rFonts w:ascii="宋体" w:hAnsi="宋体" w:cs="宋体"/>
                <w:b/>
                <w:color w:val="auto"/>
                <w:szCs w:val="21"/>
                <w:highlight w:val="none"/>
              </w:rPr>
            </w:pPr>
            <w:r>
              <w:rPr>
                <w:rFonts w:hint="eastAsia" w:ascii="宋体" w:hAnsi="宋体" w:cs="宋体"/>
                <w:b/>
                <w:color w:val="auto"/>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27" w:type="dxa"/>
            <w:noWrap w:val="0"/>
            <w:vAlign w:val="center"/>
          </w:tcPr>
          <w:p>
            <w:pPr>
              <w:adjustRightInd w:val="0"/>
              <w:snapToGrid w:val="0"/>
              <w:spacing w:line="240" w:lineRule="exact"/>
              <w:jc w:val="center"/>
              <w:rPr>
                <w:rFonts w:ascii="宋体" w:hAnsi="宋体" w:cs="宋体"/>
                <w:color w:val="auto"/>
                <w:spacing w:val="-6"/>
                <w:szCs w:val="21"/>
                <w:highlight w:val="none"/>
              </w:rPr>
            </w:pPr>
            <w:r>
              <w:rPr>
                <w:rFonts w:hint="eastAsia" w:ascii="宋体" w:hAnsi="宋体" w:cs="宋体"/>
                <w:color w:val="auto"/>
                <w:spacing w:val="-6"/>
                <w:szCs w:val="21"/>
                <w:highlight w:val="none"/>
              </w:rPr>
              <w:t>价格评分</w:t>
            </w:r>
          </w:p>
        </w:tc>
        <w:tc>
          <w:tcPr>
            <w:tcW w:w="816" w:type="dxa"/>
            <w:noWrap w:val="0"/>
            <w:vAlign w:val="center"/>
          </w:tcPr>
          <w:p>
            <w:pPr>
              <w:adjustRightInd w:val="0"/>
              <w:snapToGrid w:val="0"/>
              <w:spacing w:line="240" w:lineRule="exact"/>
              <w:jc w:val="center"/>
              <w:rPr>
                <w:rFonts w:ascii="宋体" w:hAnsi="宋体" w:cs="宋体"/>
                <w:color w:val="auto"/>
                <w:spacing w:val="-6"/>
                <w:szCs w:val="21"/>
                <w:highlight w:val="none"/>
              </w:rPr>
            </w:pPr>
            <w:r>
              <w:rPr>
                <w:rFonts w:hint="eastAsia" w:ascii="宋体" w:hAnsi="宋体" w:cs="宋体"/>
                <w:color w:val="auto"/>
                <w:spacing w:val="-6"/>
                <w:szCs w:val="21"/>
                <w:highlight w:val="none"/>
                <w:lang w:val="en-US" w:eastAsia="zh-CN"/>
              </w:rPr>
              <w:t>30</w:t>
            </w:r>
            <w:r>
              <w:rPr>
                <w:rFonts w:hint="eastAsia" w:ascii="宋体" w:hAnsi="宋体" w:cs="宋体"/>
                <w:color w:val="auto"/>
                <w:spacing w:val="-6"/>
                <w:szCs w:val="21"/>
                <w:highlight w:val="none"/>
              </w:rPr>
              <w:t>分</w:t>
            </w:r>
          </w:p>
        </w:tc>
        <w:tc>
          <w:tcPr>
            <w:tcW w:w="1592" w:type="dxa"/>
            <w:noWrap w:val="0"/>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报价得分</w:t>
            </w:r>
          </w:p>
        </w:tc>
        <w:tc>
          <w:tcPr>
            <w:tcW w:w="5955" w:type="dxa"/>
            <w:noWrap w:val="0"/>
            <w:vAlign w:val="center"/>
          </w:tcPr>
          <w:p>
            <w:pPr>
              <w:spacing w:line="240" w:lineRule="exact"/>
              <w:rPr>
                <w:rFonts w:ascii="宋体" w:hAnsi="宋体" w:cs="宋体"/>
                <w:color w:val="auto"/>
                <w:spacing w:val="-6"/>
                <w:w w:val="90"/>
                <w:szCs w:val="21"/>
                <w:highlight w:val="none"/>
              </w:rPr>
            </w:pPr>
            <w:r>
              <w:rPr>
                <w:rFonts w:hint="eastAsia" w:ascii="宋体" w:hAnsi="宋体" w:cs="宋体"/>
                <w:color w:val="auto"/>
                <w:szCs w:val="21"/>
                <w:highlight w:val="none"/>
              </w:rPr>
              <w:t>满足招标文件要求且最后报价最低的投标人的价格为评标基准价，其价格分为满分。其他投标人的价格分统一按照下列公式计算：投标报价得分=（评标基准价/投标报价）×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27" w:type="dxa"/>
            <w:vMerge w:val="restart"/>
            <w:noWrap w:val="0"/>
            <w:vAlign w:val="center"/>
          </w:tcPr>
          <w:p>
            <w:pPr>
              <w:adjustRightInd w:val="0"/>
              <w:snapToGrid w:val="0"/>
              <w:spacing w:line="240" w:lineRule="exact"/>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eastAsia="zh-CN"/>
              </w:rPr>
              <w:t>商务评分</w:t>
            </w:r>
          </w:p>
        </w:tc>
        <w:tc>
          <w:tcPr>
            <w:tcW w:w="816" w:type="dxa"/>
            <w:vMerge w:val="restart"/>
            <w:noWrap w:val="0"/>
            <w:vAlign w:val="center"/>
          </w:tcPr>
          <w:p>
            <w:pPr>
              <w:adjustRightInd w:val="0"/>
              <w:snapToGrid w:val="0"/>
              <w:spacing w:line="240" w:lineRule="exact"/>
              <w:jc w:val="center"/>
              <w:rPr>
                <w:rFonts w:ascii="宋体" w:hAnsi="宋体" w:cs="宋体"/>
                <w:color w:val="auto"/>
                <w:spacing w:val="-6"/>
                <w:szCs w:val="21"/>
                <w:highlight w:val="none"/>
              </w:rPr>
            </w:pPr>
            <w:r>
              <w:rPr>
                <w:rFonts w:hint="eastAsia" w:ascii="宋体" w:hAnsi="宋体" w:cs="宋体"/>
                <w:color w:val="auto"/>
                <w:spacing w:val="-6"/>
                <w:szCs w:val="21"/>
                <w:highlight w:val="none"/>
                <w:lang w:val="en-US" w:eastAsia="zh-CN"/>
              </w:rPr>
              <w:t>30</w:t>
            </w:r>
            <w:r>
              <w:rPr>
                <w:rFonts w:hint="eastAsia" w:ascii="宋体" w:hAnsi="宋体" w:cs="宋体"/>
                <w:color w:val="auto"/>
                <w:spacing w:val="-6"/>
                <w:szCs w:val="21"/>
                <w:highlight w:val="none"/>
              </w:rPr>
              <w:t>分</w:t>
            </w:r>
          </w:p>
        </w:tc>
        <w:tc>
          <w:tcPr>
            <w:tcW w:w="1592"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项目总监资历</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和业绩</w:t>
            </w:r>
          </w:p>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5955" w:type="dxa"/>
            <w:noWrap w:val="0"/>
            <w:vAlign w:val="center"/>
          </w:tcPr>
          <w:p>
            <w:pPr>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①拟派本项目总监理工程师具有工程类专业中级及以上技术职称的得 5 分，否则得 0 分。（提供证书复印件加盖公章）</w:t>
            </w:r>
          </w:p>
          <w:p>
            <w:pPr>
              <w:spacing w:line="240" w:lineRule="exact"/>
              <w:rPr>
                <w:color w:val="auto"/>
                <w:highlight w:val="none"/>
              </w:rPr>
            </w:pPr>
            <w:r>
              <w:rPr>
                <w:rFonts w:hint="eastAsia" w:ascii="宋体" w:hAnsi="宋体" w:cs="宋体"/>
                <w:color w:val="auto"/>
                <w:szCs w:val="21"/>
                <w:highlight w:val="none"/>
                <w:lang w:val="en-US" w:eastAsia="zh-CN"/>
              </w:rPr>
              <w:t>②拟派本项目总监理工程师近五年（从递交响应文件截止日期 往前推算，以监理合同日期为准） 具有 1个监理合同金额 55 万元及以上的房屋建筑工程类似监理业绩的（以总监理工程师身份） 得 2.5分，最多得 5分。（提供中标通知书或监理合同复印件加盖公章）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27" w:type="dxa"/>
            <w:vMerge w:val="continue"/>
            <w:noWrap w:val="0"/>
            <w:vAlign w:val="center"/>
          </w:tcPr>
          <w:p>
            <w:pPr>
              <w:adjustRightInd w:val="0"/>
              <w:snapToGrid w:val="0"/>
              <w:spacing w:line="240" w:lineRule="exact"/>
              <w:jc w:val="center"/>
              <w:rPr>
                <w:rFonts w:hint="eastAsia" w:ascii="宋体" w:hAnsi="宋体" w:cs="宋体"/>
                <w:color w:val="auto"/>
                <w:spacing w:val="-6"/>
                <w:szCs w:val="21"/>
                <w:highlight w:val="none"/>
                <w:lang w:eastAsia="zh-CN"/>
              </w:rPr>
            </w:pPr>
          </w:p>
        </w:tc>
        <w:tc>
          <w:tcPr>
            <w:tcW w:w="816" w:type="dxa"/>
            <w:vMerge w:val="continue"/>
            <w:noWrap w:val="0"/>
            <w:vAlign w:val="center"/>
          </w:tcPr>
          <w:p>
            <w:pPr>
              <w:adjustRightInd w:val="0"/>
              <w:snapToGrid w:val="0"/>
              <w:spacing w:line="240" w:lineRule="exact"/>
              <w:jc w:val="center"/>
              <w:rPr>
                <w:rFonts w:hint="eastAsia" w:ascii="宋体" w:hAnsi="宋体" w:cs="宋体"/>
                <w:color w:val="auto"/>
                <w:spacing w:val="-6"/>
                <w:szCs w:val="21"/>
                <w:highlight w:val="none"/>
                <w:lang w:val="en-US" w:eastAsia="zh-CN"/>
              </w:rPr>
            </w:pPr>
          </w:p>
        </w:tc>
        <w:tc>
          <w:tcPr>
            <w:tcW w:w="1592" w:type="dxa"/>
            <w:noWrap w:val="0"/>
            <w:vAlign w:val="center"/>
          </w:tcPr>
          <w:p>
            <w:pPr>
              <w:spacing w:line="24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监理人员配备</w:t>
            </w:r>
          </w:p>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5955" w:type="dxa"/>
            <w:noWrap w:val="0"/>
            <w:vAlign w:val="center"/>
          </w:tcPr>
          <w:p>
            <w:pPr>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 配备的专业监理工程师数量（不少于2人）、专业符合工程建设实际情况的得 2 分，否则在大于或等于 0 且小于 2 分之间得分；</w:t>
            </w:r>
          </w:p>
          <w:p>
            <w:pPr>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②配备的专业监理工程有电力工程专业国家注册监理工程师1人及以上得2分，否则不得分； </w:t>
            </w:r>
          </w:p>
          <w:p>
            <w:pPr>
              <w:spacing w:line="240" w:lineRule="exact"/>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③</w:t>
            </w:r>
            <w:r>
              <w:rPr>
                <w:rFonts w:hint="eastAsia" w:ascii="宋体" w:hAnsi="宋体" w:cs="宋体"/>
                <w:color w:val="auto"/>
                <w:szCs w:val="21"/>
                <w:highlight w:val="none"/>
                <w:lang w:val="en-US" w:eastAsia="zh-CN"/>
              </w:rPr>
              <w:t>配备的监理员数量（不少于1人）、专业满足工程建设需要的得1分，否则在 大于或等于 0 且小于 1 分之间得分。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专业业绩</w:t>
            </w:r>
          </w:p>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（15分）</w:t>
            </w:r>
          </w:p>
        </w:tc>
        <w:tc>
          <w:tcPr>
            <w:tcW w:w="5955" w:type="dxa"/>
            <w:noWrap w:val="0"/>
            <w:vAlign w:val="center"/>
          </w:tcPr>
          <w:p>
            <w:pPr>
              <w:spacing w:line="24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供应商近三年（从递交响应文件截止日期往前推算，以监理</w:t>
            </w:r>
          </w:p>
          <w:p>
            <w:pPr>
              <w:spacing w:line="24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 同日期为准）每承接过1个监理合同金额在 55 万元及</w:t>
            </w:r>
          </w:p>
          <w:p>
            <w:pPr>
              <w:spacing w:line="24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以上的</w:t>
            </w:r>
            <w:r>
              <w:rPr>
                <w:rFonts w:hint="eastAsia" w:ascii="宋体" w:hAnsi="宋体" w:cs="宋体"/>
                <w:i w:val="0"/>
                <w:iCs w:val="0"/>
                <w:color w:val="auto"/>
                <w:kern w:val="0"/>
                <w:sz w:val="21"/>
                <w:szCs w:val="21"/>
                <w:highlight w:val="none"/>
                <w:u w:val="none"/>
                <w:lang w:val="en-US" w:eastAsia="zh-CN" w:bidi="ar"/>
              </w:rPr>
              <w:t>房屋建筑工程</w:t>
            </w:r>
            <w:r>
              <w:rPr>
                <w:rFonts w:hint="eastAsia" w:ascii="宋体" w:hAnsi="宋体" w:eastAsia="宋体" w:cs="宋体"/>
                <w:i w:val="0"/>
                <w:iCs w:val="0"/>
                <w:color w:val="auto"/>
                <w:kern w:val="0"/>
                <w:sz w:val="21"/>
                <w:szCs w:val="21"/>
                <w:highlight w:val="none"/>
                <w:u w:val="none"/>
                <w:lang w:val="en-US" w:eastAsia="zh-CN" w:bidi="ar"/>
              </w:rPr>
              <w:t>类似监理业绩的得 5 分，最多得 15</w:t>
            </w:r>
          </w:p>
          <w:p>
            <w:pPr>
              <w:spacing w:line="240" w:lineRule="exact"/>
              <w:jc w:val="left"/>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分。（提供监理合同或中标通知书复印件加盖公章）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27" w:type="dxa"/>
            <w:vMerge w:val="restart"/>
            <w:noWrap w:val="0"/>
            <w:vAlign w:val="center"/>
          </w:tcPr>
          <w:p>
            <w:pPr>
              <w:adjustRightInd w:val="0"/>
              <w:snapToGrid w:val="0"/>
              <w:spacing w:line="240" w:lineRule="exact"/>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eastAsia="zh-CN"/>
              </w:rPr>
              <w:t>技术评分</w:t>
            </w:r>
          </w:p>
        </w:tc>
        <w:tc>
          <w:tcPr>
            <w:tcW w:w="816" w:type="dxa"/>
            <w:vMerge w:val="restart"/>
            <w:noWrap w:val="0"/>
            <w:vAlign w:val="center"/>
          </w:tcPr>
          <w:p>
            <w:pPr>
              <w:adjustRightInd w:val="0"/>
              <w:snapToGrid w:val="0"/>
              <w:spacing w:line="240" w:lineRule="exact"/>
              <w:jc w:val="center"/>
              <w:rPr>
                <w:rFonts w:hint="default" w:ascii="宋体" w:hAnsi="宋体" w:eastAsia="宋体" w:cs="宋体"/>
                <w:color w:val="auto"/>
                <w:spacing w:val="-6"/>
                <w:szCs w:val="21"/>
                <w:highlight w:val="none"/>
                <w:lang w:val="en-US" w:eastAsia="zh-CN"/>
              </w:rPr>
            </w:pPr>
            <w:r>
              <w:rPr>
                <w:rFonts w:hint="default" w:ascii="宋体" w:hAnsi="宋体" w:cs="宋体"/>
                <w:color w:val="auto"/>
                <w:spacing w:val="-6"/>
                <w:szCs w:val="21"/>
                <w:highlight w:val="none"/>
                <w:lang w:val="en-GB" w:eastAsia="zh-CN"/>
              </w:rPr>
              <w:t>40</w:t>
            </w:r>
            <w:r>
              <w:rPr>
                <w:rFonts w:hint="eastAsia" w:ascii="宋体" w:hAnsi="宋体" w:cs="宋体"/>
                <w:color w:val="auto"/>
                <w:spacing w:val="-6"/>
                <w:szCs w:val="21"/>
                <w:highlight w:val="none"/>
                <w:lang w:val="en-US" w:eastAsia="zh-CN"/>
              </w:rPr>
              <w:t>分</w:t>
            </w:r>
          </w:p>
        </w:tc>
        <w:tc>
          <w:tcPr>
            <w:tcW w:w="1592"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工程的重点和难点分析</w:t>
            </w:r>
          </w:p>
          <w:p>
            <w:pPr>
              <w:spacing w:line="2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5955" w:type="dxa"/>
            <w:noWrap w:val="0"/>
            <w:vAlign w:val="center"/>
          </w:tcPr>
          <w:p>
            <w:pPr>
              <w:rPr>
                <w:rFonts w:hint="eastAsia"/>
                <w:color w:val="auto"/>
                <w:szCs w:val="21"/>
                <w:highlight w:val="none"/>
              </w:rPr>
            </w:pPr>
            <w:r>
              <w:rPr>
                <w:rFonts w:hint="eastAsia"/>
                <w:color w:val="auto"/>
                <w:szCs w:val="21"/>
                <w:highlight w:val="none"/>
              </w:rPr>
              <w:t xml:space="preserve">工程的重点和难点分析清楚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 xml:space="preserve"> 5</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分</w:t>
            </w:r>
          </w:p>
          <w:p>
            <w:pPr>
              <w:rPr>
                <w:rFonts w:hint="eastAsia"/>
                <w:color w:val="auto"/>
                <w:szCs w:val="21"/>
                <w:highlight w:val="none"/>
              </w:rPr>
            </w:pPr>
            <w:r>
              <w:rPr>
                <w:rFonts w:hint="eastAsia"/>
                <w:color w:val="auto"/>
                <w:szCs w:val="21"/>
                <w:highlight w:val="none"/>
              </w:rPr>
              <w:t xml:space="preserve">工程的重点和难点分析基本清楚    </w:t>
            </w:r>
            <w:r>
              <w:rPr>
                <w:rFonts w:hint="eastAsia"/>
                <w:color w:val="auto"/>
                <w:szCs w:val="21"/>
                <w:highlight w:val="none"/>
                <w:lang w:val="en-US" w:eastAsia="zh-CN"/>
              </w:rPr>
              <w:t xml:space="preserve">     3  </w:t>
            </w:r>
            <w:r>
              <w:rPr>
                <w:rFonts w:hint="eastAsia"/>
                <w:color w:val="auto"/>
                <w:szCs w:val="21"/>
                <w:highlight w:val="none"/>
              </w:rPr>
              <w:t>分</w:t>
            </w:r>
          </w:p>
          <w:p>
            <w:pPr>
              <w:rPr>
                <w:rFonts w:hint="eastAsia"/>
                <w:color w:val="auto"/>
                <w:szCs w:val="21"/>
                <w:highlight w:val="none"/>
              </w:rPr>
            </w:pPr>
            <w:r>
              <w:rPr>
                <w:rFonts w:hint="eastAsia"/>
                <w:color w:val="auto"/>
                <w:szCs w:val="21"/>
                <w:highlight w:val="none"/>
              </w:rPr>
              <w:t xml:space="preserve">工程的重点和难点分析不清楚或未考虑 </w:t>
            </w:r>
            <w:r>
              <w:rPr>
                <w:rFonts w:hint="eastAsia"/>
                <w:color w:val="auto"/>
                <w:szCs w:val="21"/>
                <w:highlight w:val="none"/>
                <w:lang w:val="en-US" w:eastAsia="zh-CN"/>
              </w:rPr>
              <w:t xml:space="preserve">  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restart"/>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监理组织形式、</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监理人员岗位职责</w:t>
            </w:r>
          </w:p>
          <w:p>
            <w:pPr>
              <w:spacing w:line="2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（7分）</w:t>
            </w:r>
          </w:p>
          <w:p>
            <w:pPr>
              <w:spacing w:line="240" w:lineRule="exact"/>
              <w:jc w:val="center"/>
              <w:rPr>
                <w:rFonts w:hint="eastAsia" w:ascii="宋体" w:hAnsi="宋体" w:cs="宋体"/>
                <w:color w:val="auto"/>
                <w:szCs w:val="21"/>
                <w:highlight w:val="none"/>
              </w:rPr>
            </w:pPr>
          </w:p>
        </w:tc>
        <w:tc>
          <w:tcPr>
            <w:tcW w:w="5955" w:type="dxa"/>
            <w:noWrap w:val="0"/>
            <w:vAlign w:val="center"/>
          </w:tcPr>
          <w:p>
            <w:pPr>
              <w:rPr>
                <w:rFonts w:hint="eastAsia"/>
                <w:color w:val="auto"/>
                <w:szCs w:val="21"/>
                <w:highlight w:val="none"/>
              </w:rPr>
            </w:pPr>
            <w:r>
              <w:rPr>
                <w:rFonts w:hint="eastAsia"/>
                <w:color w:val="auto"/>
                <w:szCs w:val="21"/>
                <w:highlight w:val="none"/>
              </w:rPr>
              <w:t xml:space="preserve">机构设置可行，满足工作需要         </w:t>
            </w:r>
            <w:r>
              <w:rPr>
                <w:rFonts w:hint="eastAsia"/>
                <w:color w:val="auto"/>
                <w:szCs w:val="21"/>
                <w:highlight w:val="none"/>
                <w:lang w:val="en-US" w:eastAsia="zh-CN"/>
              </w:rPr>
              <w:t xml:space="preserve">  5</w:t>
            </w:r>
            <w:r>
              <w:rPr>
                <w:rFonts w:hint="eastAsia"/>
                <w:color w:val="auto"/>
                <w:szCs w:val="21"/>
                <w:highlight w:val="none"/>
              </w:rPr>
              <w:t xml:space="preserve">  分</w:t>
            </w:r>
          </w:p>
          <w:p>
            <w:pPr>
              <w:rPr>
                <w:rFonts w:hint="eastAsia"/>
                <w:color w:val="auto"/>
                <w:szCs w:val="21"/>
                <w:highlight w:val="none"/>
              </w:rPr>
            </w:pPr>
            <w:r>
              <w:rPr>
                <w:rFonts w:hint="eastAsia"/>
                <w:color w:val="auto"/>
                <w:szCs w:val="21"/>
                <w:highlight w:val="none"/>
              </w:rPr>
              <w:t xml:space="preserve">机构设置可行，基本满足工作需要  </w:t>
            </w:r>
            <w:r>
              <w:rPr>
                <w:rFonts w:hint="eastAsia"/>
                <w:color w:val="auto"/>
                <w:szCs w:val="21"/>
                <w:highlight w:val="none"/>
                <w:lang w:val="en-US" w:eastAsia="zh-CN"/>
              </w:rPr>
              <w:t xml:space="preserve">     3  </w:t>
            </w:r>
            <w:r>
              <w:rPr>
                <w:rFonts w:hint="eastAsia"/>
                <w:color w:val="auto"/>
                <w:szCs w:val="21"/>
                <w:highlight w:val="none"/>
              </w:rPr>
              <w:t>分</w:t>
            </w:r>
          </w:p>
          <w:p>
            <w:pPr>
              <w:rPr>
                <w:rFonts w:hint="eastAsia"/>
                <w:color w:val="auto"/>
                <w:szCs w:val="21"/>
                <w:highlight w:val="none"/>
              </w:rPr>
            </w:pPr>
            <w:r>
              <w:rPr>
                <w:rFonts w:hint="eastAsia"/>
                <w:color w:val="auto"/>
                <w:szCs w:val="21"/>
                <w:highlight w:val="none"/>
              </w:rPr>
              <w:t xml:space="preserve">机构设置不可行，不能满足工作需要   </w:t>
            </w:r>
            <w:r>
              <w:rPr>
                <w:rFonts w:hint="eastAsia"/>
                <w:color w:val="auto"/>
                <w:szCs w:val="21"/>
                <w:highlight w:val="none"/>
                <w:lang w:val="en-US" w:eastAsia="zh-CN"/>
              </w:rPr>
              <w:t xml:space="preserve">  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rPr>
                <w:rFonts w:hint="eastAsia"/>
                <w:color w:val="auto"/>
                <w:szCs w:val="21"/>
                <w:highlight w:val="none"/>
              </w:rPr>
            </w:pPr>
            <w:r>
              <w:rPr>
                <w:rFonts w:hint="eastAsia"/>
                <w:color w:val="auto"/>
                <w:szCs w:val="21"/>
                <w:highlight w:val="none"/>
              </w:rPr>
              <w:t xml:space="preserve">监理人员岗位职责明确且符合监理规范要求 </w:t>
            </w:r>
            <w:r>
              <w:rPr>
                <w:rFonts w:hint="eastAsia"/>
                <w:color w:val="auto"/>
                <w:szCs w:val="21"/>
                <w:highlight w:val="none"/>
                <w:lang w:val="en-US" w:eastAsia="zh-CN"/>
              </w:rPr>
              <w:t>2</w:t>
            </w:r>
            <w:r>
              <w:rPr>
                <w:rFonts w:hint="eastAsia"/>
                <w:color w:val="auto"/>
                <w:szCs w:val="21"/>
                <w:highlight w:val="none"/>
              </w:rPr>
              <w:t xml:space="preserve"> 分</w:t>
            </w:r>
          </w:p>
          <w:p>
            <w:pPr>
              <w:rPr>
                <w:rFonts w:hint="eastAsia"/>
                <w:color w:val="auto"/>
                <w:szCs w:val="21"/>
                <w:highlight w:val="none"/>
              </w:rPr>
            </w:pPr>
            <w:r>
              <w:rPr>
                <w:rFonts w:hint="eastAsia"/>
                <w:color w:val="auto"/>
                <w:szCs w:val="21"/>
                <w:highlight w:val="none"/>
              </w:rPr>
              <w:t>监理人员岗位职责不明确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restart"/>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工程质量控制</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55" w:type="dxa"/>
            <w:noWrap w:val="0"/>
            <w:vAlign w:val="center"/>
          </w:tcPr>
          <w:p>
            <w:pPr>
              <w:spacing w:line="440" w:lineRule="exact"/>
              <w:rPr>
                <w:rFonts w:hint="eastAsia"/>
                <w:color w:val="auto"/>
                <w:szCs w:val="21"/>
                <w:highlight w:val="none"/>
              </w:rPr>
            </w:pPr>
            <w:r>
              <w:rPr>
                <w:rFonts w:ascii="宋体" w:hAnsi="宋体"/>
                <w:color w:val="auto"/>
                <w:szCs w:val="21"/>
                <w:highlight w:val="none"/>
              </w:rPr>
              <w:t>质量控制目标明确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3</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质量控制目标</w:t>
            </w:r>
            <w:r>
              <w:rPr>
                <w:rFonts w:hint="eastAsia" w:ascii="宋体" w:hAnsi="宋体"/>
                <w:color w:val="auto"/>
                <w:szCs w:val="21"/>
                <w:highlight w:val="none"/>
              </w:rPr>
              <w:t>基本</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质量控制目标</w:t>
            </w:r>
            <w:r>
              <w:rPr>
                <w:rFonts w:hint="eastAsia" w:ascii="宋体" w:hAnsi="宋体"/>
                <w:color w:val="auto"/>
                <w:szCs w:val="21"/>
                <w:highlight w:val="none"/>
              </w:rPr>
              <w:t>不</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ascii="宋体" w:hAnsi="宋体"/>
                <w:color w:val="auto"/>
                <w:szCs w:val="21"/>
                <w:highlight w:val="none"/>
              </w:rPr>
            </w:pPr>
            <w:r>
              <w:rPr>
                <w:rFonts w:ascii="宋体" w:hAnsi="宋体"/>
                <w:color w:val="auto"/>
                <w:szCs w:val="21"/>
                <w:highlight w:val="none"/>
              </w:rPr>
              <w:t>主要工序和关键部位控制措施合理</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3</w:t>
            </w:r>
            <w:r>
              <w:rPr>
                <w:rFonts w:hint="eastAsia"/>
                <w:color w:val="auto"/>
                <w:szCs w:val="21"/>
                <w:highlight w:val="none"/>
              </w:rPr>
              <w:t>分</w:t>
            </w:r>
          </w:p>
          <w:p>
            <w:pPr>
              <w:spacing w:line="440" w:lineRule="exact"/>
              <w:ind w:left="1260" w:hanging="1260" w:hangingChars="600"/>
              <w:rPr>
                <w:rFonts w:hint="eastAsia" w:ascii="宋体" w:hAnsi="宋体"/>
                <w:color w:val="auto"/>
                <w:szCs w:val="21"/>
                <w:highlight w:val="none"/>
              </w:rPr>
            </w:pPr>
            <w:r>
              <w:rPr>
                <w:rFonts w:ascii="宋体" w:hAnsi="宋体"/>
                <w:color w:val="auto"/>
                <w:szCs w:val="21"/>
                <w:highlight w:val="none"/>
              </w:rPr>
              <w:t>主要工序和关键部位控制措施</w:t>
            </w:r>
            <w:r>
              <w:rPr>
                <w:rFonts w:hint="eastAsia" w:ascii="宋体" w:hAnsi="宋体"/>
                <w:color w:val="auto"/>
                <w:szCs w:val="21"/>
                <w:highlight w:val="none"/>
              </w:rPr>
              <w:t>基本</w:t>
            </w:r>
            <w:r>
              <w:rPr>
                <w:rFonts w:ascii="宋体" w:hAnsi="宋体"/>
                <w:color w:val="auto"/>
                <w:szCs w:val="21"/>
                <w:highlight w:val="none"/>
              </w:rPr>
              <w:t>合理</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 xml:space="preserve">2 </w:t>
            </w:r>
            <w:r>
              <w:rPr>
                <w:rFonts w:hint="eastAsia"/>
                <w:color w:val="auto"/>
                <w:szCs w:val="21"/>
                <w:highlight w:val="none"/>
              </w:rPr>
              <w:t>分</w:t>
            </w:r>
          </w:p>
          <w:p>
            <w:pPr>
              <w:spacing w:line="440" w:lineRule="exact"/>
              <w:rPr>
                <w:rFonts w:hint="eastAsia"/>
                <w:color w:val="auto"/>
                <w:szCs w:val="21"/>
                <w:highlight w:val="none"/>
              </w:rPr>
            </w:pPr>
            <w:r>
              <w:rPr>
                <w:rFonts w:ascii="宋体" w:hAnsi="宋体"/>
                <w:color w:val="auto"/>
                <w:szCs w:val="21"/>
                <w:highlight w:val="none"/>
              </w:rPr>
              <w:t>主要工序和关键部位的控制措施</w:t>
            </w:r>
            <w:r>
              <w:rPr>
                <w:rFonts w:hint="eastAsia" w:ascii="宋体" w:hAnsi="宋体"/>
                <w:color w:val="auto"/>
                <w:szCs w:val="21"/>
                <w:highlight w:val="none"/>
              </w:rPr>
              <w:t>不</w:t>
            </w:r>
            <w:r>
              <w:rPr>
                <w:rFonts w:ascii="宋体" w:hAnsi="宋体"/>
                <w:color w:val="auto"/>
                <w:szCs w:val="21"/>
                <w:highlight w:val="none"/>
              </w:rPr>
              <w:t>合理</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color w:val="auto"/>
                <w:szCs w:val="21"/>
                <w:highlight w:val="none"/>
              </w:rPr>
            </w:pPr>
            <w:r>
              <w:rPr>
                <w:rFonts w:ascii="宋体" w:hAnsi="宋体"/>
                <w:color w:val="auto"/>
                <w:szCs w:val="21"/>
                <w:highlight w:val="none"/>
              </w:rPr>
              <w:t>原材料和中间产品质量检测控制措施可行、跟踪检测和平行检测方法可行</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3</w:t>
            </w:r>
            <w:r>
              <w:rPr>
                <w:rFonts w:hint="eastAsia"/>
                <w:color w:val="auto"/>
                <w:szCs w:val="21"/>
                <w:highlight w:val="none"/>
              </w:rPr>
              <w:t>分</w:t>
            </w:r>
          </w:p>
          <w:p>
            <w:pPr>
              <w:spacing w:line="440" w:lineRule="exact"/>
              <w:rPr>
                <w:rFonts w:hint="eastAsia"/>
                <w:color w:val="auto"/>
                <w:szCs w:val="21"/>
                <w:highlight w:val="none"/>
              </w:rPr>
            </w:pPr>
            <w:r>
              <w:rPr>
                <w:rFonts w:ascii="宋体" w:hAnsi="宋体"/>
                <w:color w:val="auto"/>
                <w:szCs w:val="21"/>
                <w:highlight w:val="none"/>
              </w:rPr>
              <w:t>原材料和中间产品质量检测控制措施</w:t>
            </w:r>
            <w:r>
              <w:rPr>
                <w:rFonts w:hint="eastAsia" w:ascii="宋体" w:hAnsi="宋体"/>
                <w:color w:val="auto"/>
                <w:szCs w:val="21"/>
                <w:highlight w:val="none"/>
              </w:rPr>
              <w:t>基本</w:t>
            </w:r>
            <w:r>
              <w:rPr>
                <w:rFonts w:ascii="宋体" w:hAnsi="宋体"/>
                <w:color w:val="auto"/>
                <w:szCs w:val="21"/>
                <w:highlight w:val="none"/>
              </w:rPr>
              <w:t>可行、跟踪检测和平行检测方法</w:t>
            </w:r>
            <w:r>
              <w:rPr>
                <w:rFonts w:hint="eastAsia" w:ascii="宋体" w:hAnsi="宋体"/>
                <w:color w:val="auto"/>
                <w:szCs w:val="21"/>
                <w:highlight w:val="none"/>
              </w:rPr>
              <w:t>基本</w:t>
            </w:r>
            <w:r>
              <w:rPr>
                <w:rFonts w:ascii="宋体" w:hAnsi="宋体"/>
                <w:color w:val="auto"/>
                <w:szCs w:val="21"/>
                <w:highlight w:val="none"/>
              </w:rPr>
              <w:t>可行</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原材料和中间产品质量检测控制措施</w:t>
            </w:r>
            <w:r>
              <w:rPr>
                <w:rFonts w:hint="eastAsia" w:ascii="宋体" w:hAnsi="宋体"/>
                <w:color w:val="auto"/>
                <w:szCs w:val="21"/>
                <w:highlight w:val="none"/>
              </w:rPr>
              <w:t>不</w:t>
            </w:r>
            <w:r>
              <w:rPr>
                <w:rFonts w:ascii="宋体" w:hAnsi="宋体"/>
                <w:color w:val="auto"/>
                <w:szCs w:val="21"/>
                <w:highlight w:val="none"/>
              </w:rPr>
              <w:t>可行、跟踪检测和平行检测方法</w:t>
            </w:r>
            <w:r>
              <w:rPr>
                <w:rFonts w:hint="eastAsia" w:ascii="宋体" w:hAnsi="宋体"/>
                <w:color w:val="auto"/>
                <w:szCs w:val="21"/>
                <w:highlight w:val="none"/>
              </w:rPr>
              <w:t>不</w:t>
            </w:r>
            <w:r>
              <w:rPr>
                <w:rFonts w:ascii="宋体" w:hAnsi="宋体"/>
                <w:color w:val="auto"/>
                <w:szCs w:val="21"/>
                <w:highlight w:val="none"/>
              </w:rPr>
              <w:t>可行</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restart"/>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工程进度控制</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55" w:type="dxa"/>
            <w:noWrap w:val="0"/>
            <w:vAlign w:val="center"/>
          </w:tcPr>
          <w:p>
            <w:pPr>
              <w:spacing w:line="440" w:lineRule="exact"/>
              <w:rPr>
                <w:rFonts w:hint="eastAsia" w:ascii="宋体" w:hAnsi="宋体"/>
                <w:color w:val="auto"/>
                <w:szCs w:val="21"/>
                <w:highlight w:val="none"/>
              </w:rPr>
            </w:pPr>
            <w:r>
              <w:rPr>
                <w:rFonts w:ascii="宋体" w:hAnsi="宋体"/>
                <w:color w:val="auto"/>
                <w:szCs w:val="21"/>
                <w:highlight w:val="none"/>
              </w:rPr>
              <w:t>进度控制目标明确</w:t>
            </w:r>
            <w:r>
              <w:rPr>
                <w:rFonts w:hint="eastAsia" w:ascii="宋体" w:hAnsi="宋体"/>
                <w:color w:val="auto"/>
                <w:szCs w:val="21"/>
                <w:highlight w:val="none"/>
              </w:rPr>
              <w:t xml:space="preserve">                   </w:t>
            </w:r>
            <w:r>
              <w:rPr>
                <w:rFonts w:hint="eastAsia"/>
                <w:color w:val="auto"/>
                <w:szCs w:val="21"/>
                <w:highlight w:val="none"/>
                <w:lang w:val="en-US" w:eastAsia="zh-CN"/>
              </w:rPr>
              <w:t>3</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进度控制目标</w:t>
            </w:r>
            <w:r>
              <w:rPr>
                <w:rFonts w:hint="eastAsia" w:ascii="宋体" w:hAnsi="宋体"/>
                <w:color w:val="auto"/>
                <w:szCs w:val="21"/>
                <w:highlight w:val="none"/>
              </w:rPr>
              <w:t>基本</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2</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分</w:t>
            </w:r>
          </w:p>
          <w:p>
            <w:pPr>
              <w:spacing w:line="440" w:lineRule="exact"/>
              <w:rPr>
                <w:rFonts w:ascii="宋体" w:hAnsi="宋体"/>
                <w:color w:val="auto"/>
                <w:szCs w:val="21"/>
                <w:highlight w:val="none"/>
              </w:rPr>
            </w:pPr>
            <w:r>
              <w:rPr>
                <w:rFonts w:ascii="宋体" w:hAnsi="宋体"/>
                <w:color w:val="auto"/>
                <w:szCs w:val="21"/>
                <w:highlight w:val="none"/>
              </w:rPr>
              <w:t>进度控制目标</w:t>
            </w:r>
            <w:r>
              <w:rPr>
                <w:rFonts w:hint="eastAsia" w:ascii="宋体" w:hAnsi="宋体"/>
                <w:color w:val="auto"/>
                <w:szCs w:val="21"/>
                <w:highlight w:val="none"/>
              </w:rPr>
              <w:t>不</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ascii="宋体" w:hAnsi="宋体"/>
                <w:color w:val="auto"/>
                <w:szCs w:val="21"/>
                <w:highlight w:val="none"/>
              </w:rPr>
            </w:pPr>
            <w:r>
              <w:rPr>
                <w:rFonts w:ascii="宋体" w:hAnsi="宋体"/>
                <w:color w:val="auto"/>
                <w:szCs w:val="21"/>
                <w:highlight w:val="none"/>
              </w:rPr>
              <w:t>进度控制方法和措施正确、完善</w:t>
            </w:r>
            <w:r>
              <w:rPr>
                <w:rFonts w:hint="eastAsia" w:ascii="宋体" w:hAnsi="宋体"/>
                <w:color w:val="auto"/>
                <w:szCs w:val="21"/>
                <w:highlight w:val="none"/>
              </w:rPr>
              <w:t xml:space="preserve">       </w:t>
            </w:r>
            <w:r>
              <w:rPr>
                <w:rFonts w:hint="eastAsia"/>
                <w:color w:val="auto"/>
                <w:szCs w:val="21"/>
                <w:highlight w:val="none"/>
                <w:lang w:val="en-US" w:eastAsia="zh-CN"/>
              </w:rPr>
              <w:t>3</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进度控制方法和措施</w:t>
            </w:r>
            <w:r>
              <w:rPr>
                <w:rFonts w:hint="eastAsia" w:ascii="宋体" w:hAnsi="宋体"/>
                <w:color w:val="auto"/>
                <w:szCs w:val="21"/>
                <w:highlight w:val="none"/>
              </w:rPr>
              <w:t>基本</w:t>
            </w:r>
            <w:r>
              <w:rPr>
                <w:rFonts w:ascii="宋体" w:hAnsi="宋体"/>
                <w:color w:val="auto"/>
                <w:szCs w:val="21"/>
                <w:highlight w:val="none"/>
              </w:rPr>
              <w:t>正确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 xml:space="preserve">2  </w:t>
            </w:r>
            <w:r>
              <w:rPr>
                <w:rFonts w:hint="eastAsia"/>
                <w:color w:val="auto"/>
                <w:szCs w:val="21"/>
                <w:highlight w:val="none"/>
              </w:rPr>
              <w:t>分</w:t>
            </w:r>
          </w:p>
          <w:p>
            <w:pPr>
              <w:spacing w:line="440" w:lineRule="exact"/>
              <w:rPr>
                <w:rFonts w:ascii="宋体" w:hAnsi="宋体"/>
                <w:color w:val="auto"/>
                <w:szCs w:val="21"/>
                <w:highlight w:val="none"/>
              </w:rPr>
            </w:pPr>
            <w:r>
              <w:rPr>
                <w:rFonts w:ascii="宋体" w:hAnsi="宋体"/>
                <w:color w:val="auto"/>
                <w:szCs w:val="21"/>
                <w:highlight w:val="none"/>
              </w:rPr>
              <w:t>进度控制方法和措施</w:t>
            </w:r>
            <w:r>
              <w:rPr>
                <w:rFonts w:hint="eastAsia" w:ascii="宋体" w:hAnsi="宋体"/>
                <w:color w:val="auto"/>
                <w:szCs w:val="21"/>
                <w:highlight w:val="none"/>
              </w:rPr>
              <w:t>不</w:t>
            </w:r>
            <w:r>
              <w:rPr>
                <w:rFonts w:ascii="宋体" w:hAnsi="宋体"/>
                <w:color w:val="auto"/>
                <w:szCs w:val="21"/>
                <w:highlight w:val="none"/>
              </w:rPr>
              <w:t>正确</w:t>
            </w:r>
            <w:r>
              <w:rPr>
                <w:rFonts w:hint="eastAsia" w:ascii="宋体" w:hAnsi="宋体"/>
                <w:color w:val="auto"/>
                <w:szCs w:val="21"/>
                <w:highlight w:val="none"/>
              </w:rPr>
              <w:t xml:space="preserve">           </w:t>
            </w:r>
            <w:r>
              <w:rPr>
                <w:rFonts w:hint="eastAsia"/>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color w:val="auto"/>
                <w:szCs w:val="21"/>
                <w:highlight w:val="none"/>
              </w:rPr>
            </w:pPr>
            <w:r>
              <w:rPr>
                <w:rFonts w:ascii="宋体" w:hAnsi="宋体"/>
                <w:color w:val="auto"/>
                <w:szCs w:val="21"/>
                <w:highlight w:val="none"/>
              </w:rPr>
              <w:t>进度控制工作流程正确合理</w:t>
            </w:r>
            <w:r>
              <w:rPr>
                <w:rFonts w:hint="eastAsia" w:ascii="宋体" w:hAnsi="宋体"/>
                <w:color w:val="auto"/>
                <w:szCs w:val="21"/>
                <w:highlight w:val="none"/>
              </w:rPr>
              <w:t xml:space="preserve">           </w:t>
            </w:r>
            <w:r>
              <w:rPr>
                <w:rFonts w:hint="eastAsia"/>
                <w:color w:val="auto"/>
                <w:szCs w:val="21"/>
                <w:highlight w:val="none"/>
                <w:lang w:val="en-US" w:eastAsia="zh-CN"/>
              </w:rPr>
              <w:t>3</w:t>
            </w:r>
            <w:r>
              <w:rPr>
                <w:rFonts w:hint="eastAsia"/>
                <w:color w:val="auto"/>
                <w:szCs w:val="21"/>
                <w:highlight w:val="none"/>
              </w:rPr>
              <w:t xml:space="preserve">  分</w:t>
            </w:r>
          </w:p>
          <w:p>
            <w:pPr>
              <w:spacing w:line="440" w:lineRule="exact"/>
              <w:rPr>
                <w:rFonts w:hint="eastAsia"/>
                <w:color w:val="auto"/>
                <w:szCs w:val="21"/>
                <w:highlight w:val="none"/>
              </w:rPr>
            </w:pPr>
            <w:r>
              <w:rPr>
                <w:rFonts w:ascii="宋体" w:hAnsi="宋体"/>
                <w:color w:val="auto"/>
                <w:szCs w:val="21"/>
                <w:highlight w:val="none"/>
              </w:rPr>
              <w:t>进度控制工作流程</w:t>
            </w:r>
            <w:r>
              <w:rPr>
                <w:rFonts w:hint="eastAsia" w:ascii="宋体" w:hAnsi="宋体"/>
                <w:color w:val="auto"/>
                <w:szCs w:val="21"/>
                <w:highlight w:val="none"/>
              </w:rPr>
              <w:t>基本</w:t>
            </w:r>
            <w:r>
              <w:rPr>
                <w:rFonts w:ascii="宋体" w:hAnsi="宋体"/>
                <w:color w:val="auto"/>
                <w:szCs w:val="21"/>
                <w:highlight w:val="none"/>
              </w:rPr>
              <w:t>正确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 xml:space="preserve">2  </w:t>
            </w:r>
            <w:r>
              <w:rPr>
                <w:rFonts w:hint="eastAsia"/>
                <w:color w:val="auto"/>
                <w:szCs w:val="21"/>
                <w:highlight w:val="none"/>
              </w:rPr>
              <w:t>分</w:t>
            </w:r>
          </w:p>
          <w:p>
            <w:pPr>
              <w:spacing w:line="440" w:lineRule="exact"/>
              <w:rPr>
                <w:rFonts w:ascii="宋体" w:hAnsi="宋体"/>
                <w:color w:val="auto"/>
                <w:szCs w:val="21"/>
                <w:highlight w:val="none"/>
              </w:rPr>
            </w:pPr>
            <w:r>
              <w:rPr>
                <w:rFonts w:ascii="宋体" w:hAnsi="宋体"/>
                <w:color w:val="auto"/>
                <w:szCs w:val="21"/>
                <w:highlight w:val="none"/>
              </w:rPr>
              <w:t>进度控制工作流程</w:t>
            </w:r>
            <w:r>
              <w:rPr>
                <w:rFonts w:hint="eastAsia" w:ascii="宋体" w:hAnsi="宋体"/>
                <w:color w:val="auto"/>
                <w:szCs w:val="21"/>
                <w:highlight w:val="none"/>
              </w:rPr>
              <w:t>不</w:t>
            </w:r>
            <w:r>
              <w:rPr>
                <w:rFonts w:ascii="宋体" w:hAnsi="宋体"/>
                <w:color w:val="auto"/>
                <w:szCs w:val="21"/>
                <w:highlight w:val="none"/>
              </w:rPr>
              <w:t>正确</w:t>
            </w:r>
            <w:r>
              <w:rPr>
                <w:rFonts w:hint="eastAsia" w:ascii="宋体" w:hAnsi="宋体"/>
                <w:color w:val="auto"/>
                <w:szCs w:val="21"/>
                <w:highlight w:val="none"/>
              </w:rPr>
              <w:t xml:space="preserve">             </w:t>
            </w:r>
            <w:r>
              <w:rPr>
                <w:rFonts w:hint="eastAsia"/>
                <w:color w:val="auto"/>
                <w:szCs w:val="21"/>
                <w:highlight w:val="none"/>
                <w:lang w:val="en-US" w:eastAsia="zh-CN"/>
              </w:rPr>
              <w:t>1</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合同与信息管理</w:t>
            </w:r>
          </w:p>
          <w:p>
            <w:pPr>
              <w:spacing w:line="240" w:lineRule="exact"/>
              <w:jc w:val="center"/>
              <w:rPr>
                <w:rFonts w:hint="eastAsia" w:ascii="宋体" w:hAnsi="宋体" w:cs="宋体"/>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955" w:type="dxa"/>
            <w:noWrap w:val="0"/>
            <w:vAlign w:val="center"/>
          </w:tcPr>
          <w:p>
            <w:pPr>
              <w:spacing w:line="440" w:lineRule="exact"/>
              <w:rPr>
                <w:rFonts w:hint="eastAsia"/>
                <w:color w:val="auto"/>
                <w:szCs w:val="21"/>
                <w:highlight w:val="none"/>
              </w:rPr>
            </w:pPr>
            <w:r>
              <w:rPr>
                <w:color w:val="auto"/>
                <w:szCs w:val="21"/>
                <w:highlight w:val="none"/>
              </w:rPr>
              <w:t>合同管理措施具体、完善</w:t>
            </w:r>
            <w:r>
              <w:rPr>
                <w:rFonts w:hint="eastAsia"/>
                <w:color w:val="auto"/>
                <w:szCs w:val="21"/>
                <w:highlight w:val="none"/>
              </w:rPr>
              <w:t xml:space="preserve">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color w:val="auto"/>
                <w:szCs w:val="21"/>
                <w:highlight w:val="none"/>
              </w:rPr>
              <w:t>合同管理措施具体、</w:t>
            </w:r>
            <w:r>
              <w:rPr>
                <w:rFonts w:hint="eastAsia"/>
                <w:color w:val="auto"/>
                <w:szCs w:val="21"/>
                <w:highlight w:val="none"/>
              </w:rPr>
              <w:t xml:space="preserve">可行        </w:t>
            </w:r>
            <w:r>
              <w:rPr>
                <w:rFonts w:hint="eastAsia"/>
                <w:color w:val="auto"/>
                <w:szCs w:val="21"/>
                <w:highlight w:val="none"/>
                <w:lang w:val="en-US" w:eastAsia="zh-CN"/>
              </w:rPr>
              <w:t xml:space="preserve">     1  </w:t>
            </w:r>
            <w:r>
              <w:rPr>
                <w:rFonts w:hint="eastAsia"/>
                <w:color w:val="auto"/>
                <w:szCs w:val="21"/>
                <w:highlight w:val="none"/>
              </w:rPr>
              <w:t>分</w:t>
            </w:r>
          </w:p>
          <w:p>
            <w:pPr>
              <w:spacing w:line="440" w:lineRule="exact"/>
              <w:rPr>
                <w:rFonts w:ascii="宋体" w:hAnsi="宋体"/>
                <w:color w:val="auto"/>
                <w:szCs w:val="21"/>
                <w:highlight w:val="none"/>
              </w:rPr>
            </w:pPr>
            <w:r>
              <w:rPr>
                <w:color w:val="auto"/>
                <w:szCs w:val="21"/>
                <w:highlight w:val="none"/>
              </w:rPr>
              <w:t>合同管理措施</w:t>
            </w:r>
            <w:r>
              <w:rPr>
                <w:rFonts w:hint="eastAsia"/>
                <w:color w:val="auto"/>
                <w:szCs w:val="21"/>
                <w:highlight w:val="none"/>
              </w:rPr>
              <w:t xml:space="preserve">不可行                 </w:t>
            </w:r>
            <w:r>
              <w:rPr>
                <w:rFonts w:hint="eastAsia"/>
                <w:color w:val="auto"/>
                <w:szCs w:val="21"/>
                <w:highlight w:val="none"/>
                <w:lang w:val="en-US" w:eastAsia="zh-CN"/>
              </w:rPr>
              <w:t>0</w:t>
            </w:r>
            <w:r>
              <w:rPr>
                <w:rFonts w:hint="eastAsia"/>
                <w:color w:val="auto"/>
                <w:szCs w:val="21"/>
                <w:highlight w:val="none"/>
              </w:rPr>
              <w:t xml:space="preserve">  </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color w:val="auto"/>
                <w:szCs w:val="21"/>
                <w:highlight w:val="none"/>
              </w:rPr>
            </w:pPr>
            <w:r>
              <w:rPr>
                <w:color w:val="auto"/>
                <w:szCs w:val="21"/>
                <w:highlight w:val="none"/>
              </w:rPr>
              <w:t>信息管理措施</w:t>
            </w:r>
            <w:r>
              <w:rPr>
                <w:rFonts w:hint="eastAsia"/>
                <w:color w:val="auto"/>
                <w:szCs w:val="21"/>
                <w:highlight w:val="none"/>
              </w:rPr>
              <w:t xml:space="preserve">完备，合理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color w:val="auto"/>
                <w:szCs w:val="21"/>
                <w:highlight w:val="none"/>
              </w:rPr>
              <w:t>信息管理措施</w:t>
            </w:r>
            <w:r>
              <w:rPr>
                <w:rFonts w:hint="eastAsia"/>
                <w:color w:val="auto"/>
                <w:szCs w:val="21"/>
                <w:highlight w:val="none"/>
              </w:rPr>
              <w:t xml:space="preserve">基本完备，可行    </w:t>
            </w:r>
            <w:r>
              <w:rPr>
                <w:rFonts w:hint="eastAsia"/>
                <w:color w:val="auto"/>
                <w:szCs w:val="21"/>
                <w:highlight w:val="none"/>
                <w:lang w:val="en-US" w:eastAsia="zh-CN"/>
              </w:rPr>
              <w:t xml:space="preserve">     1</w:t>
            </w:r>
            <w:r>
              <w:rPr>
                <w:rFonts w:hint="eastAsia"/>
                <w:color w:val="auto"/>
                <w:szCs w:val="21"/>
                <w:highlight w:val="none"/>
              </w:rPr>
              <w:t xml:space="preserve">  分</w:t>
            </w:r>
          </w:p>
          <w:p>
            <w:pPr>
              <w:spacing w:line="440" w:lineRule="exact"/>
              <w:rPr>
                <w:rFonts w:ascii="宋体" w:hAnsi="宋体"/>
                <w:color w:val="auto"/>
                <w:szCs w:val="21"/>
                <w:highlight w:val="none"/>
              </w:rPr>
            </w:pPr>
            <w:r>
              <w:rPr>
                <w:color w:val="auto"/>
                <w:szCs w:val="21"/>
                <w:highlight w:val="none"/>
              </w:rPr>
              <w:t>措施</w:t>
            </w:r>
            <w:r>
              <w:rPr>
                <w:rFonts w:hint="eastAsia"/>
                <w:color w:val="auto"/>
                <w:szCs w:val="21"/>
                <w:highlight w:val="none"/>
              </w:rPr>
              <w:t>不</w:t>
            </w:r>
            <w:r>
              <w:rPr>
                <w:color w:val="auto"/>
                <w:szCs w:val="21"/>
                <w:highlight w:val="none"/>
              </w:rPr>
              <w:t>得当或未予考虑</w:t>
            </w:r>
            <w:r>
              <w:rPr>
                <w:rFonts w:hint="eastAsia"/>
                <w:color w:val="auto"/>
                <w:szCs w:val="21"/>
                <w:highlight w:val="none"/>
              </w:rPr>
              <w:t xml:space="preserve">               </w:t>
            </w:r>
            <w:r>
              <w:rPr>
                <w:rFonts w:hint="eastAsia"/>
                <w:color w:val="auto"/>
                <w:szCs w:val="21"/>
                <w:highlight w:val="none"/>
                <w:lang w:val="en-US" w:eastAsia="zh-CN"/>
              </w:rPr>
              <w:t>0</w:t>
            </w:r>
            <w:r>
              <w:rPr>
                <w:rFonts w:hint="eastAsia"/>
                <w:color w:val="auto"/>
                <w:szCs w:val="21"/>
                <w:highlight w:val="none"/>
              </w:rPr>
              <w:t xml:space="preserve">  </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restart"/>
            <w:noWrap w:val="0"/>
            <w:vAlign w:val="center"/>
          </w:tcPr>
          <w:p>
            <w:pPr>
              <w:spacing w:line="440" w:lineRule="exact"/>
              <w:jc w:val="center"/>
              <w:rPr>
                <w:rFonts w:hint="eastAsia"/>
                <w:color w:val="auto"/>
                <w:szCs w:val="21"/>
                <w:highlight w:val="none"/>
              </w:rPr>
            </w:pPr>
            <w:r>
              <w:rPr>
                <w:rFonts w:hint="eastAsia"/>
                <w:color w:val="auto"/>
                <w:szCs w:val="21"/>
                <w:highlight w:val="none"/>
              </w:rPr>
              <w:t>安全生产管理</w:t>
            </w:r>
          </w:p>
          <w:p>
            <w:pPr>
              <w:spacing w:line="240" w:lineRule="exact"/>
              <w:jc w:val="center"/>
              <w:rPr>
                <w:rFonts w:hint="eastAsia" w:ascii="宋体" w:hAnsi="宋体" w:cs="宋体"/>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分）</w:t>
            </w:r>
          </w:p>
        </w:tc>
        <w:tc>
          <w:tcPr>
            <w:tcW w:w="5955" w:type="dxa"/>
            <w:noWrap w:val="0"/>
            <w:vAlign w:val="center"/>
          </w:tcPr>
          <w:p>
            <w:pPr>
              <w:spacing w:line="440" w:lineRule="exact"/>
              <w:rPr>
                <w:rFonts w:hint="eastAsia"/>
                <w:color w:val="auto"/>
                <w:szCs w:val="21"/>
                <w:highlight w:val="none"/>
              </w:rPr>
            </w:pPr>
            <w:r>
              <w:rPr>
                <w:rFonts w:hint="eastAsia"/>
                <w:color w:val="auto"/>
                <w:szCs w:val="21"/>
                <w:highlight w:val="none"/>
              </w:rPr>
              <w:t>安全生产管理</w:t>
            </w:r>
            <w:r>
              <w:rPr>
                <w:rFonts w:ascii="宋体" w:hAnsi="宋体"/>
                <w:color w:val="auto"/>
                <w:szCs w:val="21"/>
                <w:highlight w:val="none"/>
              </w:rPr>
              <w:t>目标明确</w:t>
            </w:r>
            <w:r>
              <w:rPr>
                <w:rFonts w:hint="eastAsia" w:ascii="宋体" w:hAnsi="宋体"/>
                <w:color w:val="auto"/>
                <w:szCs w:val="21"/>
                <w:highlight w:val="none"/>
              </w:rPr>
              <w:t xml:space="preserve">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rFonts w:hint="eastAsia"/>
                <w:color w:val="auto"/>
                <w:szCs w:val="21"/>
                <w:highlight w:val="none"/>
              </w:rPr>
              <w:t>安全生产管理</w:t>
            </w:r>
            <w:r>
              <w:rPr>
                <w:rFonts w:ascii="宋体" w:hAnsi="宋体"/>
                <w:color w:val="auto"/>
                <w:szCs w:val="21"/>
                <w:highlight w:val="none"/>
              </w:rPr>
              <w:t>目标</w:t>
            </w:r>
            <w:r>
              <w:rPr>
                <w:rFonts w:hint="eastAsia" w:ascii="宋体" w:hAnsi="宋体"/>
                <w:color w:val="auto"/>
                <w:szCs w:val="21"/>
                <w:highlight w:val="none"/>
              </w:rPr>
              <w:t>基本</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分</w:t>
            </w:r>
          </w:p>
          <w:p>
            <w:pPr>
              <w:spacing w:line="440" w:lineRule="exact"/>
              <w:rPr>
                <w:rFonts w:ascii="宋体" w:hAnsi="宋体"/>
                <w:color w:val="auto"/>
                <w:szCs w:val="21"/>
                <w:highlight w:val="none"/>
              </w:rPr>
            </w:pPr>
            <w:r>
              <w:rPr>
                <w:rFonts w:hint="eastAsia"/>
                <w:color w:val="auto"/>
                <w:szCs w:val="21"/>
                <w:highlight w:val="none"/>
              </w:rPr>
              <w:t>安全生产管理</w:t>
            </w:r>
            <w:r>
              <w:rPr>
                <w:rFonts w:ascii="宋体" w:hAnsi="宋体"/>
                <w:color w:val="auto"/>
                <w:szCs w:val="21"/>
                <w:highlight w:val="none"/>
              </w:rPr>
              <w:t>目标</w:t>
            </w:r>
            <w:r>
              <w:rPr>
                <w:rFonts w:hint="eastAsia" w:ascii="宋体" w:hAnsi="宋体"/>
                <w:color w:val="auto"/>
                <w:szCs w:val="21"/>
                <w:highlight w:val="none"/>
              </w:rPr>
              <w:t>不</w:t>
            </w:r>
            <w:r>
              <w:rPr>
                <w:rFonts w:ascii="宋体" w:hAnsi="宋体"/>
                <w:color w:val="auto"/>
                <w:szCs w:val="21"/>
                <w:highlight w:val="none"/>
              </w:rPr>
              <w:t>明确</w:t>
            </w:r>
            <w:r>
              <w:rPr>
                <w:rFonts w:hint="eastAsia" w:ascii="宋体" w:hAnsi="宋体"/>
                <w:color w:val="auto"/>
                <w:szCs w:val="21"/>
                <w:highlight w:val="none"/>
              </w:rPr>
              <w:t xml:space="preserve">             </w:t>
            </w:r>
            <w:r>
              <w:rPr>
                <w:rFonts w:hint="eastAsia"/>
                <w:color w:val="auto"/>
                <w:szCs w:val="21"/>
                <w:highlight w:val="none"/>
                <w:lang w:val="en-US" w:eastAsia="zh-CN"/>
              </w:rPr>
              <w:t>0</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color w:val="auto"/>
                <w:szCs w:val="21"/>
                <w:highlight w:val="none"/>
              </w:rPr>
            </w:pPr>
            <w:r>
              <w:rPr>
                <w:rFonts w:hint="eastAsia"/>
                <w:color w:val="auto"/>
                <w:szCs w:val="21"/>
                <w:highlight w:val="none"/>
              </w:rPr>
              <w:t>安全监理</w:t>
            </w:r>
            <w:r>
              <w:rPr>
                <w:rFonts w:ascii="宋体" w:hAnsi="宋体"/>
                <w:color w:val="auto"/>
                <w:szCs w:val="21"/>
                <w:highlight w:val="none"/>
              </w:rPr>
              <w:t>工作</w:t>
            </w:r>
            <w:r>
              <w:rPr>
                <w:rFonts w:hint="eastAsia" w:ascii="宋体" w:hAnsi="宋体"/>
                <w:color w:val="auto"/>
                <w:szCs w:val="21"/>
                <w:highlight w:val="none"/>
              </w:rPr>
              <w:t>程序</w:t>
            </w:r>
            <w:r>
              <w:rPr>
                <w:rFonts w:ascii="宋体" w:hAnsi="宋体"/>
                <w:color w:val="auto"/>
                <w:szCs w:val="21"/>
                <w:highlight w:val="none"/>
              </w:rPr>
              <w:t>合理</w:t>
            </w:r>
            <w:r>
              <w:rPr>
                <w:rFonts w:hint="eastAsia" w:ascii="宋体" w:hAnsi="宋体"/>
                <w:color w:val="auto"/>
                <w:szCs w:val="21"/>
                <w:highlight w:val="none"/>
              </w:rPr>
              <w:t xml:space="preserve">可行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color w:val="auto"/>
                <w:szCs w:val="21"/>
                <w:highlight w:val="none"/>
              </w:rPr>
            </w:pPr>
            <w:r>
              <w:rPr>
                <w:rFonts w:hint="eastAsia"/>
                <w:color w:val="auto"/>
                <w:szCs w:val="21"/>
                <w:highlight w:val="none"/>
              </w:rPr>
              <w:t>安全监理</w:t>
            </w:r>
            <w:r>
              <w:rPr>
                <w:rFonts w:ascii="宋体" w:hAnsi="宋体"/>
                <w:color w:val="auto"/>
                <w:szCs w:val="21"/>
                <w:highlight w:val="none"/>
              </w:rPr>
              <w:t>工作</w:t>
            </w:r>
            <w:r>
              <w:rPr>
                <w:rFonts w:hint="eastAsia" w:ascii="宋体" w:hAnsi="宋体"/>
                <w:color w:val="auto"/>
                <w:szCs w:val="21"/>
                <w:highlight w:val="none"/>
              </w:rPr>
              <w:t>程序基本</w:t>
            </w:r>
            <w:r>
              <w:rPr>
                <w:rFonts w:ascii="宋体" w:hAnsi="宋体"/>
                <w:color w:val="auto"/>
                <w:szCs w:val="21"/>
                <w:highlight w:val="none"/>
              </w:rPr>
              <w:t>合理</w:t>
            </w:r>
            <w:r>
              <w:rPr>
                <w:rFonts w:hint="eastAsia" w:ascii="宋体" w:hAnsi="宋体"/>
                <w:color w:val="auto"/>
                <w:szCs w:val="21"/>
                <w:highlight w:val="none"/>
              </w:rPr>
              <w:t xml:space="preserve">可行  </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分</w:t>
            </w:r>
          </w:p>
          <w:p>
            <w:pPr>
              <w:spacing w:line="440" w:lineRule="exact"/>
              <w:rPr>
                <w:rFonts w:ascii="宋体" w:hAnsi="宋体"/>
                <w:color w:val="auto"/>
                <w:szCs w:val="21"/>
                <w:highlight w:val="none"/>
              </w:rPr>
            </w:pPr>
            <w:r>
              <w:rPr>
                <w:rFonts w:hint="eastAsia"/>
                <w:color w:val="auto"/>
                <w:szCs w:val="21"/>
                <w:highlight w:val="none"/>
              </w:rPr>
              <w:t>安全监理</w:t>
            </w:r>
            <w:r>
              <w:rPr>
                <w:rFonts w:ascii="宋体" w:hAnsi="宋体"/>
                <w:color w:val="auto"/>
                <w:szCs w:val="21"/>
                <w:highlight w:val="none"/>
              </w:rPr>
              <w:t>工作</w:t>
            </w:r>
            <w:r>
              <w:rPr>
                <w:rFonts w:hint="eastAsia" w:ascii="宋体" w:hAnsi="宋体"/>
                <w:color w:val="auto"/>
                <w:szCs w:val="21"/>
                <w:highlight w:val="none"/>
              </w:rPr>
              <w:t xml:space="preserve">程序不可行             </w:t>
            </w:r>
            <w:r>
              <w:rPr>
                <w:rFonts w:hint="eastAsia"/>
                <w:color w:val="auto"/>
                <w:szCs w:val="21"/>
                <w:highlight w:val="none"/>
                <w:lang w:val="en-US" w:eastAsia="zh-CN"/>
              </w:rPr>
              <w:t>0</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27"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816" w:type="dxa"/>
            <w:vMerge w:val="continue"/>
            <w:noWrap w:val="0"/>
            <w:vAlign w:val="center"/>
          </w:tcPr>
          <w:p>
            <w:pPr>
              <w:adjustRightInd w:val="0"/>
              <w:snapToGrid w:val="0"/>
              <w:spacing w:line="240" w:lineRule="exact"/>
              <w:jc w:val="center"/>
              <w:rPr>
                <w:rFonts w:ascii="宋体" w:hAnsi="宋体" w:cs="宋体"/>
                <w:color w:val="auto"/>
                <w:spacing w:val="-6"/>
                <w:szCs w:val="21"/>
                <w:highlight w:val="none"/>
              </w:rPr>
            </w:pPr>
          </w:p>
        </w:tc>
        <w:tc>
          <w:tcPr>
            <w:tcW w:w="1592" w:type="dxa"/>
            <w:vMerge w:val="continue"/>
            <w:noWrap w:val="0"/>
            <w:vAlign w:val="center"/>
          </w:tcPr>
          <w:p>
            <w:pPr>
              <w:spacing w:line="240" w:lineRule="exact"/>
              <w:jc w:val="center"/>
              <w:rPr>
                <w:rFonts w:hint="eastAsia" w:ascii="宋体" w:hAnsi="宋体" w:cs="宋体"/>
                <w:color w:val="auto"/>
                <w:szCs w:val="21"/>
                <w:highlight w:val="none"/>
              </w:rPr>
            </w:pPr>
          </w:p>
        </w:tc>
        <w:tc>
          <w:tcPr>
            <w:tcW w:w="5955" w:type="dxa"/>
            <w:noWrap w:val="0"/>
            <w:vAlign w:val="center"/>
          </w:tcPr>
          <w:p>
            <w:pPr>
              <w:spacing w:line="440" w:lineRule="exact"/>
              <w:rPr>
                <w:rFonts w:hint="eastAsia" w:ascii="宋体" w:hAnsi="宋体"/>
                <w:color w:val="auto"/>
                <w:szCs w:val="21"/>
                <w:highlight w:val="none"/>
              </w:rPr>
            </w:pPr>
            <w:r>
              <w:rPr>
                <w:rFonts w:hint="eastAsia"/>
                <w:color w:val="auto"/>
                <w:szCs w:val="21"/>
                <w:highlight w:val="none"/>
              </w:rPr>
              <w:t>安全生产管理</w:t>
            </w:r>
            <w:r>
              <w:rPr>
                <w:rFonts w:ascii="宋体" w:hAnsi="宋体"/>
                <w:color w:val="auto"/>
                <w:szCs w:val="21"/>
                <w:highlight w:val="none"/>
              </w:rPr>
              <w:t>方法和措施</w:t>
            </w:r>
            <w:r>
              <w:rPr>
                <w:rFonts w:hint="eastAsia" w:ascii="宋体" w:hAnsi="宋体"/>
                <w:color w:val="auto"/>
                <w:szCs w:val="21"/>
                <w:highlight w:val="none"/>
              </w:rPr>
              <w:t xml:space="preserve">合理可行     </w:t>
            </w:r>
            <w:r>
              <w:rPr>
                <w:rFonts w:hint="eastAsia"/>
                <w:color w:val="auto"/>
                <w:szCs w:val="21"/>
                <w:highlight w:val="none"/>
                <w:lang w:val="en-US" w:eastAsia="zh-CN"/>
              </w:rPr>
              <w:t>2</w:t>
            </w:r>
            <w:r>
              <w:rPr>
                <w:rFonts w:hint="eastAsia"/>
                <w:color w:val="auto"/>
                <w:szCs w:val="21"/>
                <w:highlight w:val="none"/>
              </w:rPr>
              <w:t xml:space="preserve">  分</w:t>
            </w:r>
          </w:p>
          <w:p>
            <w:pPr>
              <w:spacing w:line="440" w:lineRule="exact"/>
              <w:rPr>
                <w:rFonts w:hint="eastAsia" w:ascii="宋体" w:hAnsi="宋体"/>
                <w:color w:val="auto"/>
                <w:szCs w:val="21"/>
                <w:highlight w:val="none"/>
              </w:rPr>
            </w:pPr>
            <w:r>
              <w:rPr>
                <w:rFonts w:hint="eastAsia"/>
                <w:color w:val="auto"/>
                <w:szCs w:val="21"/>
                <w:highlight w:val="none"/>
              </w:rPr>
              <w:t>安全生产管理</w:t>
            </w:r>
            <w:r>
              <w:rPr>
                <w:rFonts w:ascii="宋体" w:hAnsi="宋体"/>
                <w:color w:val="auto"/>
                <w:szCs w:val="21"/>
                <w:highlight w:val="none"/>
              </w:rPr>
              <w:t>方法和措施</w:t>
            </w:r>
            <w:r>
              <w:rPr>
                <w:rFonts w:hint="eastAsia" w:ascii="宋体" w:hAnsi="宋体"/>
                <w:color w:val="auto"/>
                <w:szCs w:val="21"/>
                <w:highlight w:val="none"/>
              </w:rPr>
              <w:t>基本合理可行</w:t>
            </w:r>
            <w:r>
              <w:rPr>
                <w:rFonts w:hint="eastAsia" w:ascii="宋体" w:hAnsi="宋体"/>
                <w:color w:val="auto"/>
                <w:szCs w:val="21"/>
                <w:highlight w:val="none"/>
                <w:lang w:val="en-US" w:eastAsia="zh-CN"/>
              </w:rPr>
              <w:t xml:space="preserve"> </w:t>
            </w:r>
            <w:r>
              <w:rPr>
                <w:rFonts w:hint="eastAsia"/>
                <w:color w:val="auto"/>
                <w:szCs w:val="21"/>
                <w:highlight w:val="none"/>
                <w:lang w:val="en-US" w:eastAsia="zh-CN"/>
              </w:rPr>
              <w:t>1</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分</w:t>
            </w:r>
          </w:p>
          <w:p>
            <w:pPr>
              <w:spacing w:line="440" w:lineRule="exact"/>
              <w:rPr>
                <w:rFonts w:ascii="宋体" w:hAnsi="宋体"/>
                <w:color w:val="auto"/>
                <w:szCs w:val="21"/>
                <w:highlight w:val="none"/>
              </w:rPr>
            </w:pPr>
            <w:r>
              <w:rPr>
                <w:rFonts w:hint="eastAsia"/>
                <w:color w:val="auto"/>
                <w:szCs w:val="21"/>
                <w:highlight w:val="none"/>
              </w:rPr>
              <w:t>安全生产管理</w:t>
            </w:r>
            <w:r>
              <w:rPr>
                <w:rFonts w:ascii="宋体" w:hAnsi="宋体"/>
                <w:color w:val="auto"/>
                <w:szCs w:val="21"/>
                <w:highlight w:val="none"/>
              </w:rPr>
              <w:t>方法和措施</w:t>
            </w:r>
            <w:r>
              <w:rPr>
                <w:rFonts w:hint="eastAsia" w:ascii="宋体" w:hAnsi="宋体"/>
                <w:color w:val="auto"/>
                <w:szCs w:val="21"/>
                <w:highlight w:val="none"/>
              </w:rPr>
              <w:t xml:space="preserve">不可行       </w:t>
            </w:r>
            <w:r>
              <w:rPr>
                <w:rFonts w:hint="eastAsia"/>
                <w:color w:val="auto"/>
                <w:szCs w:val="21"/>
                <w:highlight w:val="none"/>
                <w:lang w:val="en-US" w:eastAsia="zh-CN"/>
              </w:rPr>
              <w:t>0</w:t>
            </w:r>
            <w:r>
              <w:rPr>
                <w:rFonts w:hint="eastAsia"/>
                <w:color w:val="auto"/>
                <w:szCs w:val="21"/>
                <w:highlight w:val="none"/>
              </w:rPr>
              <w:t xml:space="preserve">  分</w:t>
            </w:r>
          </w:p>
        </w:tc>
      </w:tr>
    </w:tbl>
    <w:p>
      <w:pPr>
        <w:rPr>
          <w:rStyle w:val="28"/>
          <w:rFonts w:hint="eastAsia"/>
          <w:b w:val="0"/>
          <w:color w:val="auto"/>
          <w:szCs w:val="22"/>
          <w:highlight w:val="none"/>
          <w:lang w:val="en-US" w:eastAsia="zh-CN"/>
        </w:rPr>
      </w:pPr>
      <w:r>
        <w:rPr>
          <w:rStyle w:val="28"/>
          <w:rFonts w:hint="eastAsia"/>
          <w:b w:val="0"/>
          <w:color w:val="auto"/>
          <w:szCs w:val="22"/>
          <w:highlight w:val="none"/>
          <w:lang w:val="en-US" w:eastAsia="zh-CN"/>
        </w:rPr>
        <w:br w:type="page"/>
      </w:r>
    </w:p>
    <w:p>
      <w:pPr>
        <w:jc w:val="center"/>
        <w:outlineLvl w:val="0"/>
        <w:rPr>
          <w:rFonts w:hint="eastAsia" w:ascii="Arial" w:hAnsi="Arial" w:eastAsia="黑体" w:cs="Calibri"/>
          <w:b/>
          <w:color w:val="auto"/>
          <w:kern w:val="2"/>
          <w:sz w:val="44"/>
          <w:szCs w:val="21"/>
          <w:highlight w:val="none"/>
          <w:lang w:val="en-US" w:eastAsia="zh-CN" w:bidi="ar-SA"/>
        </w:rPr>
      </w:pPr>
      <w:bookmarkStart w:id="287" w:name="_Toc3294"/>
      <w:r>
        <w:rPr>
          <w:rFonts w:hint="eastAsia" w:ascii="Arial" w:hAnsi="Arial" w:eastAsia="黑体" w:cs="Calibri"/>
          <w:b/>
          <w:color w:val="auto"/>
          <w:kern w:val="2"/>
          <w:sz w:val="44"/>
          <w:szCs w:val="21"/>
          <w:highlight w:val="none"/>
          <w:lang w:val="en-US" w:eastAsia="zh-CN" w:bidi="ar-SA"/>
        </w:rPr>
        <w:t>第五章  合同书</w:t>
      </w:r>
      <w:bookmarkEnd w:id="287"/>
    </w:p>
    <w:p>
      <w:pPr>
        <w:spacing w:line="360" w:lineRule="auto"/>
        <w:jc w:val="center"/>
        <w:rPr>
          <w:rFonts w:hint="eastAsia" w:ascii="宋体" w:eastAsia="宋体" w:cs="Times New Roman"/>
          <w:color w:val="auto"/>
          <w:sz w:val="24"/>
          <w:szCs w:val="24"/>
          <w:highlight w:val="none"/>
          <w:lang w:eastAsia="zh-CN"/>
        </w:rPr>
      </w:pPr>
      <w:r>
        <w:rPr>
          <w:rFonts w:hint="eastAsia" w:ascii="宋体" w:cs="Times New Roman"/>
          <w:color w:val="auto"/>
          <w:sz w:val="24"/>
          <w:szCs w:val="24"/>
          <w:highlight w:val="none"/>
          <w:lang w:eastAsia="zh-CN"/>
        </w:rPr>
        <w:t>（最终签订的版本以招标人提供的为准）</w:t>
      </w:r>
    </w:p>
    <w:p>
      <w:pPr>
        <w:snapToGrid w:val="0"/>
        <w:ind w:firstLine="600" w:firstLineChars="250"/>
        <w:rPr>
          <w:rFonts w:eastAsia="华文中宋"/>
          <w:bCs/>
          <w:color w:val="auto"/>
          <w:sz w:val="24"/>
          <w:highlight w:val="none"/>
        </w:rPr>
      </w:pPr>
    </w:p>
    <w:p>
      <w:pPr>
        <w:spacing w:line="360" w:lineRule="auto"/>
        <w:rPr>
          <w:b/>
          <w:bCs/>
          <w:color w:val="auto"/>
          <w:sz w:val="24"/>
          <w:highlight w:val="none"/>
        </w:rPr>
      </w:pPr>
      <w:bookmarkStart w:id="288" w:name="_Toc14410"/>
      <w:bookmarkStart w:id="289" w:name="_Toc7468"/>
      <w:bookmarkStart w:id="290" w:name="_Toc29882_WPSOffice_Level1"/>
      <w:bookmarkStart w:id="291" w:name="_Toc19987"/>
      <w:bookmarkStart w:id="292" w:name="_Toc28292"/>
      <w:bookmarkStart w:id="293" w:name="_Toc15396"/>
      <w:bookmarkStart w:id="294" w:name="_Toc11906"/>
      <w:bookmarkStart w:id="295" w:name="_Toc801"/>
      <w:bookmarkStart w:id="296" w:name="_Toc6205"/>
      <w:bookmarkStart w:id="297" w:name="_Toc26758"/>
      <w:bookmarkStart w:id="298" w:name="_Toc20437"/>
      <w:r>
        <w:rPr>
          <w:rFonts w:hAnsi="宋体"/>
          <w:b/>
          <w:bCs/>
          <w:color w:val="auto"/>
          <w:sz w:val="24"/>
          <w:highlight w:val="none"/>
        </w:rPr>
        <w:t>合同范本参考</w:t>
      </w:r>
    </w:p>
    <w:p>
      <w:pPr>
        <w:tabs>
          <w:tab w:val="left" w:pos="1320"/>
        </w:tabs>
        <w:spacing w:line="360" w:lineRule="auto"/>
        <w:jc w:val="center"/>
        <w:rPr>
          <w:rFonts w:hint="eastAsia"/>
          <w:color w:val="auto"/>
          <w:sz w:val="24"/>
          <w:highlight w:val="none"/>
        </w:rPr>
      </w:pPr>
      <w:r>
        <w:rPr>
          <w:rFonts w:hint="eastAsia" w:hAnsi="宋体"/>
          <w:color w:val="auto"/>
          <w:spacing w:val="-2"/>
          <w:sz w:val="24"/>
          <w:highlight w:val="none"/>
          <w:lang w:val="en-US" w:eastAsia="zh-CN"/>
        </w:rPr>
        <w:t>XX</w:t>
      </w:r>
      <w:r>
        <w:rPr>
          <w:rFonts w:hint="eastAsia" w:hAnsi="宋体"/>
          <w:color w:val="auto"/>
          <w:spacing w:val="-2"/>
          <w:sz w:val="24"/>
          <w:highlight w:val="none"/>
        </w:rPr>
        <w:t>服务合同</w:t>
      </w:r>
    </w:p>
    <w:p>
      <w:pPr>
        <w:tabs>
          <w:tab w:val="left" w:pos="1320"/>
        </w:tabs>
        <w:spacing w:line="360" w:lineRule="auto"/>
        <w:rPr>
          <w:color w:val="auto"/>
          <w:sz w:val="24"/>
          <w:highlight w:val="none"/>
        </w:rPr>
      </w:pPr>
      <w:r>
        <w:rPr>
          <w:rFonts w:hAnsi="宋体"/>
          <w:color w:val="auto"/>
          <w:sz w:val="24"/>
          <w:highlight w:val="none"/>
        </w:rPr>
        <w:t>甲方（</w:t>
      </w:r>
      <w:r>
        <w:rPr>
          <w:rFonts w:hint="eastAsia" w:hAnsi="宋体"/>
          <w:color w:val="auto"/>
          <w:sz w:val="24"/>
          <w:highlight w:val="none"/>
          <w:lang w:eastAsia="zh-CN"/>
        </w:rPr>
        <w:t>需</w:t>
      </w:r>
      <w:r>
        <w:rPr>
          <w:rFonts w:hAnsi="宋体"/>
          <w:color w:val="auto"/>
          <w:sz w:val="24"/>
          <w:highlight w:val="none"/>
        </w:rPr>
        <w:t>方）：</w:t>
      </w:r>
    </w:p>
    <w:p>
      <w:pPr>
        <w:tabs>
          <w:tab w:val="left" w:pos="1320"/>
        </w:tabs>
        <w:spacing w:line="360" w:lineRule="auto"/>
        <w:rPr>
          <w:color w:val="auto"/>
          <w:sz w:val="24"/>
          <w:highlight w:val="none"/>
        </w:rPr>
      </w:pPr>
      <w:r>
        <w:rPr>
          <w:rFonts w:hAnsi="宋体"/>
          <w:color w:val="auto"/>
          <w:sz w:val="24"/>
          <w:highlight w:val="none"/>
        </w:rPr>
        <w:t>乙方（供方）：</w:t>
      </w:r>
    </w:p>
    <w:p>
      <w:pPr>
        <w:spacing w:line="360" w:lineRule="auto"/>
        <w:ind w:firstLine="480" w:firstLineChars="200"/>
        <w:rPr>
          <w:color w:val="auto"/>
          <w:sz w:val="24"/>
          <w:highlight w:val="none"/>
        </w:rPr>
      </w:pPr>
      <w:r>
        <w:rPr>
          <w:rFonts w:hAnsi="宋体"/>
          <w:color w:val="auto"/>
          <w:sz w:val="24"/>
          <w:highlight w:val="none"/>
        </w:rPr>
        <w:t>为了维护甲乙双方的合法权益，根据《中华人民共和国政府采购法》、《中华人民共和国合同法》等相关法律、法规的规定，遵循平等、自愿、公平和诚实信用原则，甲乙双方同意按下述条款签</w:t>
      </w:r>
      <w:r>
        <w:rPr>
          <w:rFonts w:hint="eastAsia" w:hAnsi="宋体"/>
          <w:color w:val="auto"/>
          <w:sz w:val="24"/>
          <w:highlight w:val="none"/>
        </w:rPr>
        <w:t>订</w:t>
      </w:r>
      <w:r>
        <w:rPr>
          <w:rFonts w:hAnsi="宋体"/>
          <w:color w:val="auto"/>
          <w:sz w:val="24"/>
          <w:highlight w:val="none"/>
        </w:rPr>
        <w:t>本合同，并共同遵守。</w:t>
      </w:r>
    </w:p>
    <w:p>
      <w:pPr>
        <w:spacing w:line="360" w:lineRule="auto"/>
        <w:ind w:firstLine="482" w:firstLineChars="200"/>
        <w:rPr>
          <w:color w:val="auto"/>
          <w:kern w:val="0"/>
          <w:sz w:val="24"/>
          <w:highlight w:val="none"/>
        </w:rPr>
      </w:pPr>
      <w:r>
        <w:rPr>
          <w:rFonts w:hAnsi="宋体"/>
          <w:b/>
          <w:bCs/>
          <w:color w:val="auto"/>
          <w:kern w:val="0"/>
          <w:sz w:val="24"/>
          <w:highlight w:val="none"/>
        </w:rPr>
        <w:t>一、合同组成：</w:t>
      </w:r>
      <w:r>
        <w:rPr>
          <w:rFonts w:hAnsi="宋体"/>
          <w:color w:val="auto"/>
          <w:kern w:val="0"/>
          <w:sz w:val="24"/>
          <w:highlight w:val="none"/>
        </w:rPr>
        <w:t>以下几项是合同不可或缺的组成部分：</w:t>
      </w:r>
    </w:p>
    <w:p>
      <w:pPr>
        <w:spacing w:line="360" w:lineRule="auto"/>
        <w:ind w:firstLine="480" w:firstLineChars="200"/>
        <w:rPr>
          <w:color w:val="auto"/>
          <w:sz w:val="24"/>
          <w:highlight w:val="none"/>
        </w:rPr>
      </w:pPr>
      <w:r>
        <w:rPr>
          <w:color w:val="auto"/>
          <w:kern w:val="0"/>
          <w:sz w:val="24"/>
          <w:highlight w:val="none"/>
        </w:rPr>
        <w:t>1</w:t>
      </w:r>
      <w:r>
        <w:rPr>
          <w:rFonts w:hAnsi="宋体"/>
          <w:color w:val="auto"/>
          <w:kern w:val="0"/>
          <w:sz w:val="24"/>
          <w:highlight w:val="none"/>
        </w:rPr>
        <w:t>、政府采购</w:t>
      </w:r>
      <w:r>
        <w:rPr>
          <w:rFonts w:hint="eastAsia" w:hAnsi="宋体"/>
          <w:color w:val="auto"/>
          <w:kern w:val="0"/>
          <w:sz w:val="24"/>
          <w:highlight w:val="none"/>
          <w:lang w:eastAsia="zh-CN"/>
        </w:rPr>
        <w:t>计划备案函</w:t>
      </w:r>
      <w:r>
        <w:rPr>
          <w:rFonts w:hAnsi="宋体"/>
          <w:color w:val="auto"/>
          <w:sz w:val="24"/>
          <w:highlight w:val="none"/>
        </w:rPr>
        <w:t>；</w:t>
      </w:r>
    </w:p>
    <w:p>
      <w:pPr>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w:t>
      </w:r>
      <w:r>
        <w:rPr>
          <w:rFonts w:hint="eastAsia" w:hAnsi="宋体"/>
          <w:color w:val="auto"/>
          <w:sz w:val="24"/>
          <w:highlight w:val="none"/>
          <w:lang w:eastAsia="zh-CN"/>
        </w:rPr>
        <w:t>惠通建管科技有限公司</w:t>
      </w:r>
      <w:r>
        <w:rPr>
          <w:rFonts w:hAnsi="宋体"/>
          <w:color w:val="auto"/>
          <w:sz w:val="24"/>
          <w:highlight w:val="none"/>
        </w:rPr>
        <w:t>的磋商文件（项目编号：</w:t>
      </w:r>
      <w:r>
        <w:rPr>
          <w:rFonts w:hint="eastAsia"/>
          <w:b/>
          <w:color w:val="auto"/>
          <w:sz w:val="24"/>
          <w:highlight w:val="none"/>
          <w:lang w:val="en-US" w:eastAsia="zh-CN"/>
        </w:rPr>
        <w:t>HBYB2020-XX-XXX</w:t>
      </w:r>
      <w:r>
        <w:rPr>
          <w:rFonts w:hAnsi="宋体"/>
          <w:color w:val="auto"/>
          <w:sz w:val="24"/>
          <w:highlight w:val="none"/>
        </w:rPr>
        <w:t>）；</w:t>
      </w:r>
    </w:p>
    <w:p>
      <w:pPr>
        <w:spacing w:line="360" w:lineRule="auto"/>
        <w:ind w:firstLine="480" w:firstLineChars="200"/>
        <w:rPr>
          <w:color w:val="auto"/>
          <w:sz w:val="24"/>
          <w:highlight w:val="none"/>
        </w:rPr>
      </w:pPr>
      <w:r>
        <w:rPr>
          <w:color w:val="auto"/>
          <w:sz w:val="24"/>
          <w:highlight w:val="none"/>
        </w:rPr>
        <w:t>3</w:t>
      </w:r>
      <w:r>
        <w:rPr>
          <w:rFonts w:hAnsi="宋体"/>
          <w:color w:val="auto"/>
          <w:sz w:val="24"/>
          <w:highlight w:val="none"/>
        </w:rPr>
        <w:t>、乙方的</w:t>
      </w:r>
      <w:r>
        <w:rPr>
          <w:rFonts w:hint="eastAsia" w:hAnsi="宋体"/>
          <w:color w:val="auto"/>
          <w:sz w:val="24"/>
          <w:highlight w:val="none"/>
        </w:rPr>
        <w:t>响应</w:t>
      </w:r>
      <w:r>
        <w:rPr>
          <w:rFonts w:hAnsi="宋体"/>
          <w:color w:val="auto"/>
          <w:sz w:val="24"/>
          <w:highlight w:val="none"/>
        </w:rPr>
        <w:t>文件；</w:t>
      </w:r>
    </w:p>
    <w:p>
      <w:pPr>
        <w:spacing w:line="360" w:lineRule="auto"/>
        <w:ind w:firstLine="480" w:firstLineChars="200"/>
        <w:rPr>
          <w:color w:val="auto"/>
          <w:sz w:val="24"/>
          <w:highlight w:val="none"/>
        </w:rPr>
      </w:pPr>
      <w:r>
        <w:rPr>
          <w:color w:val="auto"/>
          <w:sz w:val="24"/>
          <w:highlight w:val="none"/>
        </w:rPr>
        <w:t>4</w:t>
      </w:r>
      <w:r>
        <w:rPr>
          <w:rFonts w:hAnsi="宋体"/>
          <w:color w:val="auto"/>
          <w:sz w:val="24"/>
          <w:highlight w:val="none"/>
        </w:rPr>
        <w:t>、</w:t>
      </w:r>
      <w:r>
        <w:rPr>
          <w:rFonts w:hint="eastAsia" w:hAnsi="宋体"/>
          <w:color w:val="auto"/>
          <w:sz w:val="24"/>
          <w:highlight w:val="none"/>
          <w:lang w:eastAsia="zh-CN"/>
        </w:rPr>
        <w:t>惠通建管科技有限公司</w:t>
      </w:r>
      <w:r>
        <w:rPr>
          <w:rFonts w:hAnsi="宋体"/>
          <w:color w:val="auto"/>
          <w:sz w:val="24"/>
          <w:highlight w:val="none"/>
        </w:rPr>
        <w:t>发出的中标</w:t>
      </w:r>
      <w:r>
        <w:rPr>
          <w:rFonts w:hint="eastAsia" w:hAnsi="宋体"/>
          <w:color w:val="auto"/>
          <w:sz w:val="24"/>
          <w:highlight w:val="none"/>
        </w:rPr>
        <w:t>（成交）</w:t>
      </w:r>
      <w:r>
        <w:rPr>
          <w:rFonts w:hAnsi="宋体"/>
          <w:color w:val="auto"/>
          <w:sz w:val="24"/>
          <w:highlight w:val="none"/>
        </w:rPr>
        <w:t>通知书。</w:t>
      </w:r>
    </w:p>
    <w:p>
      <w:pPr>
        <w:spacing w:line="360" w:lineRule="auto"/>
        <w:ind w:firstLine="482" w:firstLineChars="200"/>
        <w:rPr>
          <w:rFonts w:hint="eastAsia"/>
          <w:color w:val="auto"/>
          <w:sz w:val="24"/>
          <w:highlight w:val="none"/>
        </w:rPr>
      </w:pPr>
      <w:r>
        <w:rPr>
          <w:rFonts w:hint="eastAsia" w:hAnsi="宋体"/>
          <w:b/>
          <w:bCs/>
          <w:color w:val="auto"/>
          <w:kern w:val="0"/>
          <w:sz w:val="24"/>
          <w:highlight w:val="none"/>
        </w:rPr>
        <w:t>二、服务</w:t>
      </w:r>
      <w:r>
        <w:rPr>
          <w:rFonts w:hint="eastAsia" w:hAnsi="宋体"/>
          <w:b/>
          <w:bCs/>
          <w:color w:val="auto"/>
          <w:kern w:val="0"/>
          <w:sz w:val="24"/>
          <w:highlight w:val="none"/>
          <w:lang w:eastAsia="zh-CN"/>
        </w:rPr>
        <w:t>项目和范围</w:t>
      </w:r>
      <w:r>
        <w:rPr>
          <w:rFonts w:hint="eastAsia" w:hAnsi="宋体"/>
          <w:b/>
          <w:bCs/>
          <w:color w:val="auto"/>
          <w:kern w:val="0"/>
          <w:sz w:val="24"/>
          <w:highlight w:val="none"/>
        </w:rPr>
        <w:t>：</w:t>
      </w:r>
    </w:p>
    <w:p>
      <w:pPr>
        <w:spacing w:line="360" w:lineRule="auto"/>
        <w:ind w:firstLine="480" w:firstLineChars="200"/>
        <w:rPr>
          <w:rFonts w:hint="eastAsia"/>
          <w:color w:val="auto"/>
          <w:sz w:val="24"/>
          <w:highlight w:val="none"/>
          <w:lang w:eastAsia="zh-CN"/>
        </w:rPr>
      </w:pPr>
      <w:r>
        <w:rPr>
          <w:rFonts w:hint="eastAsia"/>
          <w:color w:val="auto"/>
          <w:sz w:val="24"/>
          <w:highlight w:val="none"/>
          <w:lang w:eastAsia="zh-CN"/>
        </w:rPr>
        <w:t>乙方向甲方指定的地点提供</w:t>
      </w:r>
      <w:r>
        <w:rPr>
          <w:rFonts w:hint="eastAsia"/>
          <w:color w:val="auto"/>
          <w:sz w:val="24"/>
          <w:highlight w:val="none"/>
          <w:lang w:val="en-US" w:eastAsia="zh-CN"/>
        </w:rPr>
        <w:t>XX</w:t>
      </w:r>
      <w:r>
        <w:rPr>
          <w:rFonts w:hint="eastAsia"/>
          <w:color w:val="auto"/>
          <w:sz w:val="24"/>
          <w:highlight w:val="none"/>
          <w:lang w:eastAsia="zh-CN"/>
        </w:rPr>
        <w:t>服务，具体为：</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w:t>
      </w:r>
    </w:p>
    <w:p>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3、</w:t>
      </w:r>
    </w:p>
    <w:p>
      <w:pPr>
        <w:spacing w:line="360" w:lineRule="auto"/>
        <w:ind w:firstLine="482" w:firstLineChars="200"/>
        <w:rPr>
          <w:rFonts w:hint="eastAsia" w:hAnsi="宋体"/>
          <w:b/>
          <w:bCs/>
          <w:color w:val="auto"/>
          <w:kern w:val="0"/>
          <w:sz w:val="24"/>
          <w:highlight w:val="none"/>
        </w:rPr>
      </w:pPr>
      <w:r>
        <w:rPr>
          <w:rFonts w:hint="eastAsia" w:hAnsi="宋体"/>
          <w:b/>
          <w:bCs/>
          <w:color w:val="auto"/>
          <w:kern w:val="0"/>
          <w:sz w:val="24"/>
          <w:highlight w:val="none"/>
          <w:lang w:eastAsia="zh-CN"/>
        </w:rPr>
        <w:t>三、服务人数、地点和分工安排</w:t>
      </w:r>
      <w:r>
        <w:rPr>
          <w:rFonts w:hint="eastAsia" w:hAnsi="宋体"/>
          <w:b/>
          <w:bCs/>
          <w:color w:val="auto"/>
          <w:kern w:val="0"/>
          <w:sz w:val="24"/>
          <w:highlight w:val="none"/>
        </w:rPr>
        <w:t>：</w:t>
      </w:r>
    </w:p>
    <w:p>
      <w:pPr>
        <w:numPr>
          <w:ilvl w:val="0"/>
          <w:numId w:val="3"/>
        </w:num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服务人数：乙方在本合同生效后，派遣X名合格的工作人员为甲方提供服务。</w:t>
      </w:r>
    </w:p>
    <w:p>
      <w:pPr>
        <w:numPr>
          <w:ilvl w:val="0"/>
          <w:numId w:val="3"/>
        </w:num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服务地点：</w:t>
      </w:r>
    </w:p>
    <w:p>
      <w:pPr>
        <w:numPr>
          <w:ilvl w:val="0"/>
          <w:numId w:val="3"/>
        </w:num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分工安排：</w:t>
      </w:r>
    </w:p>
    <w:p>
      <w:p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四、双方权利和义务：</w:t>
      </w:r>
    </w:p>
    <w:p>
      <w:pPr>
        <w:tabs>
          <w:tab w:val="left" w:pos="1320"/>
        </w:tabs>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1、甲方权利和义务：</w:t>
      </w:r>
    </w:p>
    <w:p>
      <w:pPr>
        <w:tabs>
          <w:tab w:val="left" w:pos="1320"/>
        </w:tabs>
        <w:spacing w:line="360" w:lineRule="auto"/>
        <w:ind w:firstLine="480" w:firstLineChars="200"/>
        <w:rPr>
          <w:rFonts w:hint="eastAsia"/>
          <w:color w:val="auto"/>
          <w:sz w:val="24"/>
          <w:highlight w:val="none"/>
        </w:rPr>
      </w:pPr>
      <w:r>
        <w:rPr>
          <w:rFonts w:hint="eastAsia"/>
          <w:color w:val="auto"/>
          <w:sz w:val="24"/>
          <w:highlight w:val="none"/>
          <w:lang w:val="en-US" w:eastAsia="zh-CN"/>
        </w:rPr>
        <w:t>2、乙方权利和义务：</w:t>
      </w: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合同起止时间</w:t>
      </w:r>
    </w:p>
    <w:p>
      <w:pPr>
        <w:numPr>
          <w:ilvl w:val="0"/>
          <w:numId w:val="0"/>
        </w:numPr>
        <w:spacing w:line="360" w:lineRule="auto"/>
        <w:ind w:firstLine="480" w:firstLineChars="200"/>
        <w:rPr>
          <w:rFonts w:hint="default" w:hAnsi="宋体"/>
          <w:b w:val="0"/>
          <w:bCs w:val="0"/>
          <w:color w:val="auto"/>
          <w:kern w:val="0"/>
          <w:sz w:val="24"/>
          <w:highlight w:val="none"/>
          <w:lang w:val="en-US" w:eastAsia="zh-CN"/>
        </w:rPr>
      </w:pPr>
      <w:r>
        <w:rPr>
          <w:rFonts w:hint="eastAsia" w:hAnsi="宋体"/>
          <w:b w:val="0"/>
          <w:bCs w:val="0"/>
          <w:color w:val="auto"/>
          <w:kern w:val="0"/>
          <w:sz w:val="24"/>
          <w:highlight w:val="none"/>
          <w:lang w:eastAsia="zh-CN"/>
        </w:rPr>
        <w:t>本合同期限：</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eastAsia="zh-CN"/>
        </w:rPr>
        <w:t>年</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val="en-US" w:eastAsia="zh-CN"/>
        </w:rPr>
        <w:t>月</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val="en-US" w:eastAsia="zh-CN"/>
        </w:rPr>
        <w:t>日至</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eastAsia="zh-CN"/>
        </w:rPr>
        <w:t>年</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val="en-US" w:eastAsia="zh-CN"/>
        </w:rPr>
        <w:t>月</w:t>
      </w:r>
      <w:r>
        <w:rPr>
          <w:rFonts w:hint="eastAsia" w:hAnsi="宋体"/>
          <w:b w:val="0"/>
          <w:bCs w:val="0"/>
          <w:color w:val="auto"/>
          <w:kern w:val="0"/>
          <w:sz w:val="24"/>
          <w:highlight w:val="none"/>
          <w:u w:val="single"/>
          <w:lang w:val="en-US" w:eastAsia="zh-CN"/>
        </w:rPr>
        <w:t xml:space="preserve">    </w:t>
      </w:r>
      <w:r>
        <w:rPr>
          <w:rFonts w:hint="eastAsia" w:hAnsi="宋体"/>
          <w:b w:val="0"/>
          <w:bCs w:val="0"/>
          <w:color w:val="auto"/>
          <w:kern w:val="0"/>
          <w:sz w:val="24"/>
          <w:highlight w:val="none"/>
          <w:lang w:val="en-US" w:eastAsia="zh-CN"/>
        </w:rPr>
        <w:t>日，合同期满，乙方服务达到甲方标准可续签合同，但续约时间不超过2年。</w:t>
      </w: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合同价款支付</w:t>
      </w:r>
    </w:p>
    <w:p>
      <w:pPr>
        <w:tabs>
          <w:tab w:val="left" w:pos="1320"/>
        </w:tabs>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1、服务费总金额为人民币</w:t>
      </w:r>
      <w:r>
        <w:rPr>
          <w:rFonts w:hint="eastAsia" w:hAnsi="宋体"/>
          <w:b w:val="0"/>
          <w:bCs w:val="0"/>
          <w:color w:val="auto"/>
          <w:kern w:val="0"/>
          <w:sz w:val="24"/>
          <w:highlight w:val="none"/>
          <w:u w:val="single"/>
          <w:lang w:val="en-US" w:eastAsia="zh-CN"/>
        </w:rPr>
        <w:t xml:space="preserve">                 元（小写：￥           ）</w:t>
      </w:r>
    </w:p>
    <w:p>
      <w:pPr>
        <w:tabs>
          <w:tab w:val="left" w:pos="1320"/>
        </w:tabs>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2、付款方式：</w:t>
      </w:r>
      <w:r>
        <w:rPr>
          <w:rFonts w:hint="eastAsia" w:hAnsi="宋体"/>
          <w:b w:val="0"/>
          <w:bCs w:val="0"/>
          <w:color w:val="auto"/>
          <w:kern w:val="0"/>
          <w:sz w:val="24"/>
          <w:highlight w:val="none"/>
          <w:u w:val="single"/>
          <w:lang w:val="en-US" w:eastAsia="zh-CN"/>
        </w:rPr>
        <w:t xml:space="preserve">                                                            </w:t>
      </w: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合同生效</w:t>
      </w:r>
    </w:p>
    <w:p>
      <w:pPr>
        <w:pStyle w:val="6"/>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Times New Roman"/>
          <w:color w:val="auto"/>
          <w:sz w:val="24"/>
          <w:szCs w:val="24"/>
          <w:highlight w:val="none"/>
        </w:rPr>
        <w:t>1</w:t>
      </w:r>
      <w:r>
        <w:rPr>
          <w:rFonts w:hint="eastAsia" w:ascii="Times New Roman" w:hAnsi="Times New Roman" w:cs="宋体"/>
          <w:color w:val="auto"/>
          <w:sz w:val="24"/>
          <w:szCs w:val="24"/>
          <w:highlight w:val="none"/>
        </w:rPr>
        <w:t>）本合同一式</w:t>
      </w:r>
      <w:r>
        <w:rPr>
          <w:rFonts w:ascii="Times New Roman" w:hAnsi="Times New Roman" w:cs="Times New Roman"/>
          <w:color w:val="auto"/>
          <w:sz w:val="24"/>
          <w:szCs w:val="24"/>
          <w:highlight w:val="none"/>
        </w:rPr>
        <w:t>6</w:t>
      </w:r>
      <w:r>
        <w:rPr>
          <w:rFonts w:hint="eastAsia" w:ascii="Times New Roman" w:hAnsi="Times New Roman" w:cs="宋体"/>
          <w:color w:val="auto"/>
          <w:sz w:val="24"/>
          <w:szCs w:val="24"/>
          <w:highlight w:val="none"/>
        </w:rPr>
        <w:t>份，甲方执</w:t>
      </w:r>
      <w:r>
        <w:rPr>
          <w:rFonts w:ascii="Times New Roman" w:hAnsi="Times New Roman" w:cs="Times New Roman"/>
          <w:color w:val="auto"/>
          <w:sz w:val="24"/>
          <w:szCs w:val="24"/>
          <w:highlight w:val="none"/>
        </w:rPr>
        <w:t>4</w:t>
      </w:r>
      <w:r>
        <w:rPr>
          <w:rFonts w:hint="eastAsia" w:ascii="Times New Roman" w:hAnsi="Times New Roman" w:cs="宋体"/>
          <w:color w:val="auto"/>
          <w:sz w:val="24"/>
          <w:szCs w:val="24"/>
          <w:highlight w:val="none"/>
        </w:rPr>
        <w:t>份、乙方执</w:t>
      </w:r>
      <w:r>
        <w:rPr>
          <w:rFonts w:ascii="Times New Roman" w:hAnsi="Times New Roman" w:cs="Times New Roman"/>
          <w:color w:val="auto"/>
          <w:sz w:val="24"/>
          <w:szCs w:val="24"/>
          <w:highlight w:val="none"/>
        </w:rPr>
        <w:t>1</w:t>
      </w:r>
      <w:r>
        <w:rPr>
          <w:rFonts w:hint="eastAsia" w:ascii="Times New Roman" w:hAnsi="Times New Roman" w:cs="宋体"/>
          <w:color w:val="auto"/>
          <w:sz w:val="24"/>
          <w:szCs w:val="24"/>
          <w:highlight w:val="none"/>
        </w:rPr>
        <w:t>份、有关部门执</w:t>
      </w:r>
      <w:r>
        <w:rPr>
          <w:rFonts w:ascii="Times New Roman" w:hAnsi="Times New Roman" w:cs="Times New Roman"/>
          <w:color w:val="auto"/>
          <w:sz w:val="24"/>
          <w:szCs w:val="24"/>
          <w:highlight w:val="none"/>
        </w:rPr>
        <w:t>1</w:t>
      </w:r>
      <w:r>
        <w:rPr>
          <w:rFonts w:hint="eastAsia" w:ascii="Times New Roman" w:hAnsi="Times New Roman" w:cs="宋体"/>
          <w:color w:val="auto"/>
          <w:sz w:val="24"/>
          <w:szCs w:val="24"/>
          <w:highlight w:val="none"/>
        </w:rPr>
        <w:t>份。</w:t>
      </w:r>
    </w:p>
    <w:p>
      <w:pPr>
        <w:pStyle w:val="6"/>
        <w:tabs>
          <w:tab w:val="left" w:pos="3318"/>
        </w:tabs>
        <w:spacing w:line="360" w:lineRule="auto"/>
        <w:ind w:firstLine="480" w:firstLineChars="200"/>
        <w:rPr>
          <w:rFonts w:hint="eastAsia" w:hAnsi="宋体"/>
          <w:b/>
          <w:bCs/>
          <w:color w:val="auto"/>
          <w:kern w:val="0"/>
          <w:sz w:val="24"/>
          <w:highlight w:val="none"/>
          <w:lang w:eastAsia="zh-CN"/>
        </w:rPr>
      </w:pPr>
      <w:r>
        <w:rPr>
          <w:rFonts w:hint="eastAsia" w:ascii="Times New Roman" w:hAnsi="Times New Roman" w:cs="宋体"/>
          <w:color w:val="auto"/>
          <w:sz w:val="24"/>
          <w:szCs w:val="24"/>
          <w:highlight w:val="none"/>
        </w:rPr>
        <w:t>（</w:t>
      </w:r>
      <w:r>
        <w:rPr>
          <w:rFonts w:ascii="Times New Roman" w:hAnsi="Times New Roman" w:cs="Times New Roman"/>
          <w:color w:val="auto"/>
          <w:sz w:val="24"/>
          <w:szCs w:val="24"/>
          <w:highlight w:val="none"/>
        </w:rPr>
        <w:t>2</w:t>
      </w:r>
      <w:r>
        <w:rPr>
          <w:rFonts w:hint="eastAsia" w:ascii="Times New Roman" w:hAnsi="Times New Roman" w:cs="宋体"/>
          <w:color w:val="auto"/>
          <w:sz w:val="24"/>
          <w:szCs w:val="24"/>
          <w:highlight w:val="none"/>
        </w:rPr>
        <w:t>）本合同在甲乙双方授权代表签字，并加盖单位公章后开始生效。</w:t>
      </w: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违约责任</w:t>
      </w:r>
    </w:p>
    <w:p>
      <w:pPr>
        <w:tabs>
          <w:tab w:val="left" w:pos="1320"/>
        </w:tabs>
        <w:spacing w:line="360" w:lineRule="auto"/>
        <w:ind w:firstLine="480" w:firstLineChars="200"/>
        <w:rPr>
          <w:rFonts w:hint="eastAsia"/>
          <w:color w:val="auto"/>
          <w:sz w:val="24"/>
          <w:highlight w:val="none"/>
        </w:rPr>
      </w:pP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争议解决方式</w:t>
      </w:r>
    </w:p>
    <w:p>
      <w:pPr>
        <w:spacing w:line="360" w:lineRule="auto"/>
        <w:ind w:firstLine="470" w:firstLineChars="196"/>
        <w:rPr>
          <w:rFonts w:ascii="Times New Roman" w:hAnsi="Times New Roman" w:cs="Times New Roman"/>
          <w:b/>
          <w:bCs/>
          <w:color w:val="auto"/>
          <w:sz w:val="24"/>
          <w:szCs w:val="24"/>
          <w:highlight w:val="none"/>
        </w:rPr>
      </w:pPr>
      <w:r>
        <w:rPr>
          <w:rFonts w:hint="eastAsia" w:ascii="Times New Roman" w:hAnsi="Times New Roman" w:cs="宋体"/>
          <w:color w:val="auto"/>
          <w:sz w:val="24"/>
          <w:szCs w:val="24"/>
          <w:highlight w:val="none"/>
          <w:lang w:eastAsia="zh-CN"/>
        </w:rPr>
        <w:t>合同执行过程中发生争议时，</w:t>
      </w:r>
      <w:r>
        <w:rPr>
          <w:rFonts w:hint="eastAsia" w:ascii="Times New Roman" w:hAnsi="Times New Roman" w:cs="宋体"/>
          <w:color w:val="auto"/>
          <w:sz w:val="24"/>
          <w:szCs w:val="24"/>
          <w:highlight w:val="none"/>
        </w:rPr>
        <w:t>由双方友好协商解决。协商不成，可向甲方所在地的仲裁机构申请仲裁。</w:t>
      </w:r>
    </w:p>
    <w:p>
      <w:pPr>
        <w:numPr>
          <w:ilvl w:val="0"/>
          <w:numId w:val="4"/>
        </w:numPr>
        <w:spacing w:line="360" w:lineRule="auto"/>
        <w:ind w:firstLine="482" w:firstLineChars="200"/>
        <w:rPr>
          <w:rFonts w:hint="eastAsia" w:hAnsi="宋体"/>
          <w:b/>
          <w:bCs/>
          <w:color w:val="auto"/>
          <w:kern w:val="0"/>
          <w:sz w:val="24"/>
          <w:highlight w:val="none"/>
          <w:lang w:eastAsia="zh-CN"/>
        </w:rPr>
      </w:pPr>
      <w:r>
        <w:rPr>
          <w:rFonts w:hint="eastAsia" w:hAnsi="宋体"/>
          <w:b/>
          <w:bCs/>
          <w:color w:val="auto"/>
          <w:kern w:val="0"/>
          <w:sz w:val="24"/>
          <w:highlight w:val="none"/>
          <w:lang w:eastAsia="zh-CN"/>
        </w:rPr>
        <w:t>其他约定事项：</w:t>
      </w:r>
    </w:p>
    <w:p>
      <w:pPr>
        <w:pStyle w:val="24"/>
        <w:rPr>
          <w:rFonts w:hint="eastAsia"/>
          <w:color w:val="auto"/>
          <w:highlight w:val="none"/>
          <w:lang w:eastAsia="zh-CN"/>
        </w:rPr>
      </w:pPr>
    </w:p>
    <w:p>
      <w:pPr>
        <w:tabs>
          <w:tab w:val="left" w:pos="1320"/>
        </w:tabs>
        <w:spacing w:line="360" w:lineRule="auto"/>
        <w:rPr>
          <w:color w:val="auto"/>
          <w:sz w:val="24"/>
          <w:highlight w:val="none"/>
        </w:rPr>
      </w:pPr>
      <w:r>
        <w:rPr>
          <w:rFonts w:hAnsi="宋体"/>
          <w:color w:val="auto"/>
          <w:sz w:val="24"/>
          <w:highlight w:val="none"/>
        </w:rPr>
        <w:t>甲</w:t>
      </w:r>
      <w:r>
        <w:rPr>
          <w:color w:val="auto"/>
          <w:sz w:val="24"/>
          <w:highlight w:val="none"/>
        </w:rPr>
        <w:t xml:space="preserve">  </w:t>
      </w:r>
      <w:r>
        <w:rPr>
          <w:rFonts w:hAnsi="宋体"/>
          <w:color w:val="auto"/>
          <w:sz w:val="24"/>
          <w:highlight w:val="none"/>
        </w:rPr>
        <w:t>方：</w:t>
      </w:r>
      <w:r>
        <w:rPr>
          <w:rFonts w:hint="eastAsia" w:hAnsi="宋体"/>
          <w:color w:val="auto"/>
          <w:sz w:val="24"/>
          <w:highlight w:val="none"/>
          <w:lang w:val="en-US" w:eastAsia="zh-CN"/>
        </w:rPr>
        <w:t xml:space="preserve"> </w:t>
      </w:r>
      <w:r>
        <w:rPr>
          <w:color w:val="auto"/>
          <w:sz w:val="24"/>
          <w:highlight w:val="none"/>
        </w:rPr>
        <w:t xml:space="preserve">             </w:t>
      </w:r>
      <w:r>
        <w:rPr>
          <w:rFonts w:hAnsi="宋体"/>
          <w:color w:val="auto"/>
          <w:sz w:val="24"/>
          <w:highlight w:val="none"/>
        </w:rPr>
        <w:t>乙</w:t>
      </w:r>
      <w:r>
        <w:rPr>
          <w:color w:val="auto"/>
          <w:sz w:val="24"/>
          <w:highlight w:val="none"/>
        </w:rPr>
        <w:t xml:space="preserve">  </w:t>
      </w:r>
      <w:r>
        <w:rPr>
          <w:rFonts w:hAnsi="宋体"/>
          <w:color w:val="auto"/>
          <w:sz w:val="24"/>
          <w:highlight w:val="none"/>
        </w:rPr>
        <w:t>方：</w:t>
      </w:r>
    </w:p>
    <w:p>
      <w:pPr>
        <w:pStyle w:val="2"/>
        <w:ind w:firstLine="0" w:firstLineChars="0"/>
        <w:rPr>
          <w:rFonts w:ascii="Times New Roman" w:hAnsi="Times New Roman" w:cs="Times New Roman"/>
          <w:color w:val="auto"/>
          <w:highlight w:val="none"/>
        </w:rPr>
      </w:pPr>
      <w:r>
        <w:rPr>
          <w:rFonts w:ascii="Times New Roman" w:hAnsi="宋体" w:cs="Times New Roman"/>
          <w:color w:val="auto"/>
          <w:highlight w:val="none"/>
        </w:rPr>
        <w:t>授权代表签字：</w:t>
      </w:r>
      <w:r>
        <w:rPr>
          <w:rFonts w:ascii="Times New Roman" w:hAnsi="Times New Roman" w:cs="Times New Roman"/>
          <w:color w:val="auto"/>
          <w:highlight w:val="none"/>
        </w:rPr>
        <w:t xml:space="preserve">                   </w:t>
      </w:r>
      <w:r>
        <w:rPr>
          <w:rFonts w:ascii="Times New Roman" w:hAnsi="宋体" w:cs="Times New Roman"/>
          <w:color w:val="auto"/>
          <w:highlight w:val="none"/>
        </w:rPr>
        <w:t>地</w:t>
      </w:r>
      <w:r>
        <w:rPr>
          <w:rFonts w:ascii="Times New Roman" w:hAnsi="Times New Roman" w:cs="Times New Roman"/>
          <w:color w:val="auto"/>
          <w:highlight w:val="none"/>
        </w:rPr>
        <w:t xml:space="preserve">  </w:t>
      </w:r>
      <w:r>
        <w:rPr>
          <w:rFonts w:ascii="Times New Roman" w:hAnsi="宋体" w:cs="Times New Roman"/>
          <w:color w:val="auto"/>
          <w:highlight w:val="none"/>
        </w:rPr>
        <w:t>址：</w:t>
      </w:r>
    </w:p>
    <w:p>
      <w:pPr>
        <w:tabs>
          <w:tab w:val="left" w:pos="1320"/>
        </w:tabs>
        <w:spacing w:line="360" w:lineRule="auto"/>
        <w:rPr>
          <w:color w:val="auto"/>
          <w:sz w:val="24"/>
          <w:highlight w:val="none"/>
        </w:rPr>
      </w:pPr>
      <w:r>
        <w:rPr>
          <w:color w:val="auto"/>
          <w:sz w:val="24"/>
          <w:highlight w:val="none"/>
        </w:rPr>
        <w:t xml:space="preserve">                                 </w:t>
      </w:r>
      <w:r>
        <w:rPr>
          <w:rFonts w:hAnsi="宋体"/>
          <w:color w:val="auto"/>
          <w:sz w:val="24"/>
          <w:highlight w:val="none"/>
        </w:rPr>
        <w:t>电</w:t>
      </w:r>
      <w:r>
        <w:rPr>
          <w:color w:val="auto"/>
          <w:sz w:val="24"/>
          <w:highlight w:val="none"/>
        </w:rPr>
        <w:t xml:space="preserve">  </w:t>
      </w:r>
      <w:r>
        <w:rPr>
          <w:rFonts w:hAnsi="宋体"/>
          <w:color w:val="auto"/>
          <w:sz w:val="24"/>
          <w:highlight w:val="none"/>
        </w:rPr>
        <w:t>话：</w:t>
      </w:r>
    </w:p>
    <w:p>
      <w:pPr>
        <w:spacing w:line="360" w:lineRule="auto"/>
        <w:rPr>
          <w:color w:val="auto"/>
          <w:sz w:val="24"/>
          <w:highlight w:val="none"/>
        </w:rPr>
      </w:pPr>
      <w:r>
        <w:rPr>
          <w:color w:val="auto"/>
          <w:sz w:val="24"/>
          <w:highlight w:val="none"/>
        </w:rPr>
        <w:t xml:space="preserve">                                 </w:t>
      </w:r>
      <w:r>
        <w:rPr>
          <w:rFonts w:hAnsi="宋体"/>
          <w:color w:val="auto"/>
          <w:sz w:val="24"/>
          <w:highlight w:val="none"/>
        </w:rPr>
        <w:t>代</w:t>
      </w:r>
      <w:r>
        <w:rPr>
          <w:color w:val="auto"/>
          <w:sz w:val="24"/>
          <w:highlight w:val="none"/>
        </w:rPr>
        <w:t xml:space="preserve">  </w:t>
      </w:r>
      <w:r>
        <w:rPr>
          <w:rFonts w:hAnsi="宋体"/>
          <w:color w:val="auto"/>
          <w:sz w:val="24"/>
          <w:highlight w:val="none"/>
        </w:rPr>
        <w:t>表：</w:t>
      </w:r>
    </w:p>
    <w:p>
      <w:pPr>
        <w:tabs>
          <w:tab w:val="left" w:pos="1320"/>
        </w:tabs>
        <w:spacing w:line="360" w:lineRule="auto"/>
        <w:ind w:left="3960" w:hanging="3960" w:hangingChars="1650"/>
        <w:jc w:val="left"/>
        <w:rPr>
          <w:color w:val="auto"/>
          <w:sz w:val="24"/>
          <w:highlight w:val="none"/>
        </w:rPr>
      </w:pPr>
      <w:r>
        <w:rPr>
          <w:color w:val="auto"/>
          <w:sz w:val="24"/>
          <w:highlight w:val="none"/>
        </w:rPr>
        <w:t xml:space="preserve">                                 </w:t>
      </w:r>
      <w:r>
        <w:rPr>
          <w:rFonts w:hAnsi="宋体"/>
          <w:color w:val="auto"/>
          <w:sz w:val="24"/>
          <w:highlight w:val="none"/>
        </w:rPr>
        <w:t>开户单位：</w:t>
      </w:r>
    </w:p>
    <w:p>
      <w:pPr>
        <w:tabs>
          <w:tab w:val="left" w:pos="1320"/>
        </w:tabs>
        <w:spacing w:line="360" w:lineRule="auto"/>
        <w:ind w:left="3956" w:leftChars="684" w:hanging="2520" w:hangingChars="1050"/>
        <w:jc w:val="left"/>
        <w:rPr>
          <w:color w:val="auto"/>
          <w:sz w:val="24"/>
          <w:highlight w:val="none"/>
        </w:rPr>
      </w:pPr>
      <w:r>
        <w:rPr>
          <w:color w:val="auto"/>
          <w:sz w:val="24"/>
          <w:highlight w:val="none"/>
        </w:rPr>
        <w:t xml:space="preserve">                     </w:t>
      </w:r>
      <w:r>
        <w:rPr>
          <w:rFonts w:hAnsi="宋体"/>
          <w:color w:val="auto"/>
          <w:sz w:val="24"/>
          <w:highlight w:val="none"/>
        </w:rPr>
        <w:t>开户银行：</w:t>
      </w:r>
      <w:r>
        <w:rPr>
          <w:color w:val="auto"/>
          <w:sz w:val="24"/>
          <w:highlight w:val="none"/>
        </w:rPr>
        <w:t xml:space="preserve">                                                     </w:t>
      </w:r>
      <w:r>
        <w:rPr>
          <w:rFonts w:hAnsi="宋体"/>
          <w:color w:val="auto"/>
          <w:sz w:val="24"/>
          <w:highlight w:val="none"/>
        </w:rPr>
        <w:t>银行账号：</w:t>
      </w:r>
    </w:p>
    <w:p>
      <w:pPr>
        <w:tabs>
          <w:tab w:val="left" w:pos="1320"/>
        </w:tabs>
        <w:spacing w:line="360" w:lineRule="auto"/>
        <w:jc w:val="left"/>
        <w:rPr>
          <w:rFonts w:hint="eastAsia" w:eastAsia="宋体"/>
          <w:color w:val="auto"/>
          <w:sz w:val="24"/>
          <w:highlight w:val="none"/>
          <w:lang w:eastAsia="zh-CN"/>
        </w:rPr>
      </w:pPr>
      <w:r>
        <w:rPr>
          <w:rFonts w:hAnsi="宋体"/>
          <w:color w:val="auto"/>
          <w:sz w:val="24"/>
          <w:highlight w:val="none"/>
        </w:rPr>
        <w:t>日</w:t>
      </w:r>
      <w:r>
        <w:rPr>
          <w:color w:val="auto"/>
          <w:sz w:val="24"/>
          <w:highlight w:val="none"/>
        </w:rPr>
        <w:t xml:space="preserve">  </w:t>
      </w:r>
      <w:r>
        <w:rPr>
          <w:rFonts w:hAnsi="宋体"/>
          <w:color w:val="auto"/>
          <w:sz w:val="24"/>
          <w:highlight w:val="none"/>
        </w:rPr>
        <w:t>期：</w:t>
      </w:r>
      <w:r>
        <w:rPr>
          <w:color w:val="auto"/>
          <w:sz w:val="24"/>
          <w:highlight w:val="none"/>
        </w:rPr>
        <w:t xml:space="preserve">                         </w:t>
      </w:r>
      <w:r>
        <w:rPr>
          <w:rFonts w:hAnsi="宋体"/>
          <w:color w:val="auto"/>
          <w:sz w:val="24"/>
          <w:highlight w:val="none"/>
        </w:rPr>
        <w:t>签订地点：</w:t>
      </w:r>
      <w:r>
        <w:rPr>
          <w:rFonts w:hint="eastAsia" w:hAnsi="宋体"/>
          <w:color w:val="auto"/>
          <w:sz w:val="24"/>
          <w:highlight w:val="none"/>
          <w:lang w:val="en-US" w:eastAsia="zh-CN"/>
        </w:rPr>
        <w:t xml:space="preserve"> </w:t>
      </w:r>
    </w:p>
    <w:p>
      <w:pPr>
        <w:pStyle w:val="2"/>
        <w:ind w:firstLine="480"/>
        <w:rPr>
          <w:rFonts w:ascii="Times New Roman" w:hAnsi="Times New Roman" w:cs="Times New Roman"/>
          <w:color w:val="auto"/>
          <w:highlight w:val="none"/>
        </w:rPr>
      </w:pPr>
    </w:p>
    <w:p>
      <w:pPr>
        <w:rPr>
          <w:color w:val="auto"/>
          <w:highlight w:val="none"/>
        </w:rPr>
      </w:pPr>
    </w:p>
    <w:p>
      <w:pPr>
        <w:spacing w:line="360" w:lineRule="auto"/>
        <w:rPr>
          <w:color w:val="auto"/>
          <w:sz w:val="24"/>
          <w:highlight w:val="none"/>
        </w:rPr>
      </w:pPr>
      <w:r>
        <w:rPr>
          <w:color w:val="auto"/>
          <w:sz w:val="24"/>
          <w:highlight w:val="none"/>
        </w:rPr>
        <w:t>…………………………………………………………………………………………………</w:t>
      </w:r>
    </w:p>
    <w:p>
      <w:pPr>
        <w:spacing w:line="360" w:lineRule="auto"/>
        <w:rPr>
          <w:color w:val="auto"/>
          <w:sz w:val="24"/>
          <w:highlight w:val="none"/>
        </w:rPr>
      </w:pPr>
      <w:r>
        <w:rPr>
          <w:rFonts w:hAnsi="宋体"/>
          <w:color w:val="auto"/>
          <w:sz w:val="24"/>
          <w:highlight w:val="none"/>
        </w:rPr>
        <w:t>注：另起一页</w:t>
      </w:r>
    </w:p>
    <w:p>
      <w:pPr>
        <w:spacing w:line="360" w:lineRule="auto"/>
        <w:rPr>
          <w:color w:val="auto"/>
          <w:sz w:val="24"/>
          <w:highlight w:val="none"/>
        </w:rPr>
      </w:pPr>
      <w:r>
        <w:rPr>
          <w:rFonts w:hAnsi="宋体"/>
          <w:color w:val="auto"/>
          <w:sz w:val="24"/>
          <w:highlight w:val="none"/>
        </w:rPr>
        <w:t>附件：</w:t>
      </w:r>
      <w:r>
        <w:rPr>
          <w:rFonts w:hint="eastAsia" w:hAnsi="宋体"/>
          <w:color w:val="auto"/>
          <w:sz w:val="24"/>
          <w:highlight w:val="none"/>
          <w:lang w:eastAsia="zh-CN"/>
        </w:rPr>
        <w:t>人员配备清单</w:t>
      </w:r>
      <w:r>
        <w:rPr>
          <w:rFonts w:hint="eastAsia" w:hAnsi="宋体"/>
          <w:color w:val="auto"/>
          <w:sz w:val="24"/>
          <w:highlight w:val="none"/>
          <w:lang w:val="en-US" w:eastAsia="zh-CN"/>
        </w:rPr>
        <w:t>/设备清单</w:t>
      </w:r>
      <w:r>
        <w:rPr>
          <w:color w:val="auto"/>
          <w:sz w:val="24"/>
          <w:highlight w:val="none"/>
        </w:rPr>
        <w:t xml:space="preserve">                   </w:t>
      </w:r>
      <w:r>
        <w:rPr>
          <w:rFonts w:hAnsi="宋体"/>
          <w:color w:val="auto"/>
          <w:sz w:val="24"/>
          <w:highlight w:val="none"/>
        </w:rPr>
        <w:t>货币单位：人民币元</w:t>
      </w:r>
    </w:p>
    <w:p>
      <w:pPr>
        <w:spacing w:line="360" w:lineRule="auto"/>
        <w:rPr>
          <w:color w:val="auto"/>
          <w:sz w:val="24"/>
          <w:highlight w:val="none"/>
        </w:rPr>
      </w:pPr>
      <w:r>
        <w:rPr>
          <w:rFonts w:hAnsi="宋体"/>
          <w:color w:val="auto"/>
          <w:sz w:val="24"/>
          <w:highlight w:val="none"/>
        </w:rPr>
        <w:t>（请按响应文件拟订）</w:t>
      </w:r>
    </w:p>
    <w:p>
      <w:pPr>
        <w:rPr>
          <w:rFonts w:hint="eastAsia"/>
          <w:color w:val="auto"/>
          <w:highlight w:val="none"/>
        </w:rPr>
      </w:pPr>
      <w:r>
        <w:rPr>
          <w:rFonts w:hint="eastAsia"/>
          <w:color w:val="auto"/>
          <w:highlight w:val="none"/>
        </w:rPr>
        <w:br w:type="page"/>
      </w:r>
    </w:p>
    <w:p>
      <w:pPr>
        <w:pStyle w:val="5"/>
        <w:outlineLvl w:val="0"/>
        <w:rPr>
          <w:color w:val="auto"/>
          <w:highlight w:val="none"/>
        </w:rPr>
      </w:pPr>
      <w:bookmarkStart w:id="299" w:name="_Toc8114"/>
      <w:r>
        <w:rPr>
          <w:rFonts w:hint="eastAsia"/>
          <w:color w:val="auto"/>
          <w:highlight w:val="none"/>
        </w:rPr>
        <w:t>第六章  竞争性磋商响应文件格式</w:t>
      </w:r>
      <w:bookmarkEnd w:id="288"/>
      <w:bookmarkEnd w:id="289"/>
      <w:bookmarkEnd w:id="290"/>
      <w:bookmarkEnd w:id="291"/>
      <w:bookmarkEnd w:id="292"/>
      <w:bookmarkEnd w:id="293"/>
      <w:bookmarkEnd w:id="294"/>
      <w:bookmarkEnd w:id="295"/>
      <w:bookmarkEnd w:id="296"/>
      <w:bookmarkEnd w:id="297"/>
      <w:bookmarkEnd w:id="298"/>
      <w:bookmarkEnd w:id="299"/>
    </w:p>
    <w:p>
      <w:pPr>
        <w:rPr>
          <w:rFonts w:cs="Times New Roman"/>
          <w:color w:val="auto"/>
          <w:highlight w:val="none"/>
        </w:rPr>
      </w:pPr>
    </w:p>
    <w:p>
      <w:pPr>
        <w:jc w:val="center"/>
        <w:rPr>
          <w:rFonts w:cs="Times New Roman"/>
          <w:b/>
          <w:bCs/>
          <w:color w:val="auto"/>
          <w:sz w:val="28"/>
          <w:szCs w:val="28"/>
          <w:highlight w:val="none"/>
          <w:shd w:val="clear" w:color="FFFFFF" w:fill="D9D9D9"/>
        </w:rPr>
      </w:pPr>
      <w:bookmarkStart w:id="300" w:name="_Toc22399"/>
      <w:bookmarkStart w:id="301" w:name="_Toc28028"/>
      <w:r>
        <w:rPr>
          <w:rFonts w:hint="eastAsia" w:ascii="宋体" w:hAnsi="宋体" w:cs="宋体"/>
          <w:b/>
          <w:bCs/>
          <w:color w:val="auto"/>
          <w:kern w:val="44"/>
          <w:sz w:val="28"/>
          <w:szCs w:val="28"/>
          <w:highlight w:val="none"/>
          <w:shd w:val="clear" w:color="FFFFFF" w:fill="D9D9D9"/>
        </w:rPr>
        <w:t>（以下为响应文件格式，仅供参考。供应商可根据磋商文件要求进行调整，以实质响应磋商文件）</w:t>
      </w:r>
      <w:bookmarkEnd w:id="300"/>
      <w:bookmarkEnd w:id="301"/>
    </w:p>
    <w:p>
      <w:pPr>
        <w:rPr>
          <w:rFonts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outlineLvl w:val="0"/>
        <w:rPr>
          <w:rFonts w:ascii="宋体" w:cs="Times New Roman"/>
          <w:color w:val="auto"/>
          <w:highlight w:val="none"/>
        </w:rPr>
      </w:pPr>
      <w:bookmarkStart w:id="302" w:name="_Toc720"/>
      <w:bookmarkStart w:id="303" w:name="_Toc12337_WPSOffice_Level1"/>
      <w:bookmarkStart w:id="304" w:name="_Toc10378"/>
      <w:bookmarkStart w:id="305" w:name="_Toc30600"/>
      <w:bookmarkStart w:id="306" w:name="_Toc9288"/>
      <w:bookmarkStart w:id="307" w:name="_Toc2171"/>
      <w:bookmarkStart w:id="308" w:name="_Toc11435"/>
      <w:bookmarkStart w:id="309" w:name="_Toc21500"/>
      <w:bookmarkStart w:id="310" w:name="_Toc30597_WPSOffice_Level1"/>
      <w:bookmarkStart w:id="311" w:name="_Toc12676_WPSOffice_Level1"/>
      <w:bookmarkStart w:id="312" w:name="_Toc31666"/>
      <w:bookmarkStart w:id="313" w:name="_Toc6933"/>
      <w:bookmarkStart w:id="314" w:name="_Toc12284_WPSOffice_Level1"/>
      <w:bookmarkStart w:id="315" w:name="_Toc8744"/>
      <w:bookmarkStart w:id="316" w:name="_Toc27459"/>
      <w:bookmarkStart w:id="317" w:name="_Toc31549"/>
      <w:bookmarkStart w:id="318" w:name="_Toc28734"/>
      <w:r>
        <w:rPr>
          <w:rFonts w:hint="eastAsia" w:ascii="宋体" w:hAnsi="宋体" w:cs="宋体"/>
          <w:color w:val="auto"/>
          <w:highlight w:val="none"/>
        </w:rPr>
        <w:t>封面：</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autoSpaceDE w:val="0"/>
        <w:autoSpaceDN w:val="0"/>
        <w:adjustRightInd w:val="0"/>
        <w:rPr>
          <w:rFonts w:ascii="宋体"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jc w:val="center"/>
        <w:outlineLvl w:val="0"/>
        <w:rPr>
          <w:rFonts w:ascii="宋体" w:cs="Times New Roman"/>
          <w:b/>
          <w:bCs/>
          <w:color w:val="auto"/>
          <w:sz w:val="84"/>
          <w:szCs w:val="84"/>
          <w:highlight w:val="none"/>
        </w:rPr>
      </w:pPr>
      <w:bookmarkStart w:id="319" w:name="_Toc7266"/>
      <w:bookmarkStart w:id="320" w:name="_Toc4623"/>
      <w:bookmarkStart w:id="321" w:name="_Toc27613"/>
      <w:bookmarkStart w:id="322" w:name="_Toc3349_WPSOffice_Level1"/>
      <w:bookmarkStart w:id="323" w:name="_Toc7057"/>
      <w:bookmarkStart w:id="324" w:name="_Toc24379"/>
      <w:bookmarkStart w:id="325" w:name="_Toc4558_WPSOffice_Level1"/>
      <w:bookmarkStart w:id="326" w:name="_Toc16965"/>
      <w:bookmarkStart w:id="327" w:name="_Toc32655_WPSOffice_Level1"/>
      <w:bookmarkStart w:id="328" w:name="_Toc12832"/>
      <w:bookmarkStart w:id="329" w:name="_Toc22846"/>
      <w:bookmarkStart w:id="330" w:name="_Toc1756_WPSOffice_Level1"/>
      <w:bookmarkStart w:id="331" w:name="_Toc29159"/>
      <w:bookmarkStart w:id="332" w:name="_Toc19294"/>
      <w:bookmarkStart w:id="333" w:name="_Toc13173"/>
      <w:bookmarkStart w:id="334" w:name="_Toc18955"/>
      <w:bookmarkStart w:id="335" w:name="_Toc28326"/>
      <w:bookmarkStart w:id="336" w:name="_Toc239"/>
      <w:r>
        <w:rPr>
          <w:rFonts w:hint="eastAsia" w:ascii="宋体" w:hAnsi="宋体" w:cs="宋体"/>
          <w:b/>
          <w:bCs/>
          <w:color w:val="auto"/>
          <w:sz w:val="84"/>
          <w:szCs w:val="84"/>
          <w:highlight w:val="none"/>
        </w:rPr>
        <w:t>响应文件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autoSpaceDE w:val="0"/>
        <w:autoSpaceDN w:val="0"/>
        <w:adjustRightInd w:val="0"/>
        <w:rPr>
          <w:rFonts w:ascii="宋体"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jc w:val="center"/>
        <w:outlineLvl w:val="0"/>
        <w:rPr>
          <w:rFonts w:ascii="宋体" w:cs="Times New Roman"/>
          <w:color w:val="auto"/>
          <w:highlight w:val="none"/>
        </w:rPr>
      </w:pPr>
      <w:bookmarkStart w:id="337" w:name="_Toc10129"/>
      <w:bookmarkStart w:id="338" w:name="_Toc18807_WPSOffice_Level1"/>
      <w:bookmarkStart w:id="339" w:name="_Toc20886"/>
      <w:bookmarkStart w:id="340" w:name="_Toc31059"/>
      <w:bookmarkStart w:id="341" w:name="_Toc24288"/>
      <w:bookmarkStart w:id="342" w:name="_Toc30714_WPSOffice_Level1"/>
      <w:bookmarkStart w:id="343" w:name="_Toc11043"/>
      <w:bookmarkStart w:id="344" w:name="_Toc25331_WPSOffice_Level1"/>
      <w:bookmarkStart w:id="345" w:name="_Toc18361"/>
      <w:bookmarkStart w:id="346" w:name="_Toc6256"/>
      <w:bookmarkStart w:id="347" w:name="_Toc6153"/>
      <w:bookmarkStart w:id="348" w:name="_Toc13116"/>
      <w:bookmarkStart w:id="349" w:name="_Toc27430_WPSOffice_Level1"/>
      <w:bookmarkStart w:id="350" w:name="_Toc19474"/>
      <w:bookmarkStart w:id="351" w:name="_Toc26133"/>
      <w:bookmarkStart w:id="352" w:name="_Toc9191"/>
      <w:bookmarkStart w:id="353" w:name="_Toc11941"/>
      <w:bookmarkStart w:id="354" w:name="_Toc12170"/>
      <w:r>
        <w:rPr>
          <w:rFonts w:hint="eastAsia" w:ascii="宋体" w:hAnsi="宋体" w:cs="宋体"/>
          <w:color w:val="auto"/>
          <w:highlight w:val="none"/>
        </w:rPr>
        <w:t>（正本</w:t>
      </w:r>
      <w:r>
        <w:rPr>
          <w:rFonts w:ascii="宋体" w:hAnsi="宋体" w:cs="宋体"/>
          <w:color w:val="auto"/>
          <w:highlight w:val="none"/>
        </w:rPr>
        <w:t>/</w:t>
      </w:r>
      <w:r>
        <w:rPr>
          <w:rFonts w:hint="eastAsia" w:ascii="宋体" w:hAnsi="宋体" w:cs="宋体"/>
          <w:color w:val="auto"/>
          <w:highlight w:val="none"/>
        </w:rPr>
        <w:t>副本）</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autoSpaceDE w:val="0"/>
        <w:autoSpaceDN w:val="0"/>
        <w:adjustRightInd w:val="0"/>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rPr>
          <w:rFonts w:ascii="宋体" w:cs="Times New Roman"/>
          <w:color w:val="auto"/>
          <w:highlight w:val="none"/>
        </w:rPr>
      </w:pPr>
    </w:p>
    <w:p>
      <w:pPr>
        <w:autoSpaceDE w:val="0"/>
        <w:autoSpaceDN w:val="0"/>
        <w:adjustRightInd w:val="0"/>
        <w:ind w:firstLine="1190" w:firstLineChars="395"/>
        <w:outlineLvl w:val="0"/>
        <w:rPr>
          <w:rFonts w:ascii="宋体" w:cs="Times New Roman"/>
          <w:b/>
          <w:bCs/>
          <w:color w:val="auto"/>
          <w:sz w:val="30"/>
          <w:szCs w:val="30"/>
          <w:highlight w:val="none"/>
          <w:u w:val="single"/>
        </w:rPr>
      </w:pPr>
      <w:bookmarkStart w:id="355" w:name="_Toc19468"/>
      <w:bookmarkStart w:id="356" w:name="_Toc30872"/>
      <w:bookmarkStart w:id="357" w:name="_Toc30719"/>
      <w:bookmarkStart w:id="358" w:name="_Toc18530_WPSOffice_Level1"/>
      <w:bookmarkStart w:id="359" w:name="_Toc16876"/>
      <w:bookmarkStart w:id="360" w:name="_Toc6444"/>
      <w:bookmarkStart w:id="361" w:name="_Toc27901"/>
      <w:bookmarkStart w:id="362" w:name="_Toc11975"/>
      <w:bookmarkStart w:id="363" w:name="_Toc11419"/>
      <w:bookmarkStart w:id="364" w:name="_Toc27325"/>
      <w:bookmarkStart w:id="365" w:name="_Toc22072"/>
      <w:bookmarkStart w:id="366" w:name="_Toc28925"/>
      <w:bookmarkStart w:id="367" w:name="_Toc4621"/>
      <w:bookmarkStart w:id="368" w:name="_Toc30058_WPSOffice_Level1"/>
      <w:bookmarkStart w:id="369" w:name="_Toc29930_WPSOffice_Level1"/>
      <w:bookmarkStart w:id="370" w:name="_Toc29390_WPSOffice_Level1"/>
      <w:bookmarkStart w:id="371" w:name="_Toc6057"/>
      <w:bookmarkStart w:id="372" w:name="_Toc2722"/>
      <w:r>
        <w:rPr>
          <w:rFonts w:hint="eastAsia" w:ascii="宋体" w:hAnsi="宋体" w:cs="宋体"/>
          <w:b/>
          <w:bCs/>
          <w:color w:val="auto"/>
          <w:sz w:val="30"/>
          <w:szCs w:val="30"/>
          <w:highlight w:val="none"/>
        </w:rPr>
        <w:t>采购编号：</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tabs>
          <w:tab w:val="left" w:pos="7230"/>
        </w:tabs>
        <w:ind w:firstLine="1190" w:firstLineChars="395"/>
        <w:outlineLvl w:val="9"/>
        <w:rPr>
          <w:rFonts w:hint="eastAsia" w:ascii="宋体" w:hAnsi="宋体" w:cs="宋体"/>
          <w:b/>
          <w:bCs/>
          <w:color w:val="auto"/>
          <w:sz w:val="30"/>
          <w:szCs w:val="30"/>
          <w:highlight w:val="none"/>
        </w:rPr>
      </w:pPr>
      <w:bookmarkStart w:id="373" w:name="_Toc31266"/>
      <w:bookmarkStart w:id="374" w:name="_Toc15209"/>
      <w:bookmarkStart w:id="375" w:name="_Toc12877"/>
      <w:bookmarkStart w:id="376" w:name="_Toc12159"/>
      <w:bookmarkStart w:id="377" w:name="_Toc7087"/>
      <w:bookmarkStart w:id="378" w:name="_Toc18677_WPSOffice_Level1"/>
      <w:bookmarkStart w:id="379" w:name="_Toc14657"/>
      <w:bookmarkStart w:id="380" w:name="_Toc8536"/>
      <w:bookmarkStart w:id="381" w:name="_Toc7856"/>
      <w:bookmarkStart w:id="382" w:name="_Toc13507_WPSOffice_Level1"/>
      <w:bookmarkStart w:id="383" w:name="_Toc21757_WPSOffice_Level1"/>
      <w:bookmarkStart w:id="384" w:name="_Toc23196"/>
      <w:bookmarkStart w:id="385" w:name="_Toc25121_WPSOffice_Level1"/>
    </w:p>
    <w:p>
      <w:pPr>
        <w:tabs>
          <w:tab w:val="left" w:pos="7230"/>
        </w:tabs>
        <w:ind w:firstLine="1190" w:firstLineChars="395"/>
        <w:outlineLvl w:val="0"/>
        <w:rPr>
          <w:rFonts w:hint="eastAsia" w:ascii="宋体" w:hAnsi="宋体" w:cs="宋体"/>
          <w:b/>
          <w:bCs/>
          <w:color w:val="auto"/>
          <w:sz w:val="30"/>
          <w:szCs w:val="30"/>
          <w:highlight w:val="none"/>
        </w:rPr>
      </w:pPr>
      <w:bookmarkStart w:id="386" w:name="_Toc31111"/>
      <w:bookmarkStart w:id="387" w:name="_Toc24463"/>
      <w:bookmarkStart w:id="388" w:name="_Toc172"/>
      <w:bookmarkStart w:id="389" w:name="_Toc14983"/>
      <w:bookmarkStart w:id="390" w:name="_Toc27092"/>
      <w:r>
        <w:rPr>
          <w:rFonts w:hint="eastAsia" w:ascii="宋体" w:hAnsi="宋体" w:cs="宋体"/>
          <w:b/>
          <w:bCs/>
          <w:color w:val="auto"/>
          <w:sz w:val="30"/>
          <w:szCs w:val="30"/>
          <w:highlight w:val="none"/>
        </w:rPr>
        <w:t>项目名称：</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24"/>
        <w:rPr>
          <w:rFonts w:hint="eastAsia" w:ascii="宋体" w:hAnsi="宋体" w:cs="宋体"/>
          <w:b/>
          <w:bCs/>
          <w:color w:val="auto"/>
          <w:sz w:val="30"/>
          <w:szCs w:val="30"/>
          <w:highlight w:val="none"/>
        </w:rPr>
      </w:pPr>
    </w:p>
    <w:p>
      <w:pPr>
        <w:tabs>
          <w:tab w:val="left" w:pos="7230"/>
        </w:tabs>
        <w:ind w:firstLine="1190" w:firstLineChars="395"/>
        <w:outlineLvl w:val="0"/>
        <w:rPr>
          <w:rFonts w:hint="eastAsia" w:ascii="宋体" w:hAnsi="宋体" w:cs="宋体"/>
          <w:b/>
          <w:bCs/>
          <w:color w:val="auto"/>
          <w:sz w:val="30"/>
          <w:szCs w:val="30"/>
          <w:highlight w:val="none"/>
        </w:rPr>
      </w:pPr>
      <w:bookmarkStart w:id="391" w:name="_Toc23969"/>
      <w:bookmarkStart w:id="392" w:name="_Toc10266"/>
      <w:bookmarkStart w:id="393" w:name="_Toc24024"/>
      <w:bookmarkStart w:id="394" w:name="_Toc27995"/>
      <w:bookmarkStart w:id="395" w:name="_Toc19265"/>
      <w:r>
        <w:rPr>
          <w:rFonts w:hint="eastAsia" w:ascii="宋体" w:hAnsi="宋体" w:cs="宋体"/>
          <w:b/>
          <w:bCs/>
          <w:color w:val="auto"/>
          <w:sz w:val="30"/>
          <w:szCs w:val="30"/>
          <w:highlight w:val="none"/>
          <w:lang w:eastAsia="zh-CN"/>
        </w:rPr>
        <w:t>供应商</w:t>
      </w:r>
      <w:r>
        <w:rPr>
          <w:rFonts w:hint="eastAsia" w:ascii="宋体" w:hAnsi="宋体" w:cs="宋体"/>
          <w:b/>
          <w:bCs/>
          <w:color w:val="auto"/>
          <w:sz w:val="30"/>
          <w:szCs w:val="30"/>
          <w:highlight w:val="none"/>
        </w:rPr>
        <w:t>名称：</w:t>
      </w:r>
      <w:bookmarkEnd w:id="391"/>
      <w:bookmarkEnd w:id="392"/>
      <w:bookmarkEnd w:id="393"/>
      <w:bookmarkEnd w:id="394"/>
      <w:bookmarkEnd w:id="395"/>
    </w:p>
    <w:p>
      <w:pPr>
        <w:pStyle w:val="24"/>
        <w:rPr>
          <w:rFonts w:hint="eastAsia" w:ascii="宋体" w:hAnsi="宋体" w:cs="宋体"/>
          <w:b/>
          <w:bCs/>
          <w:color w:val="auto"/>
          <w:sz w:val="30"/>
          <w:szCs w:val="30"/>
          <w:highlight w:val="none"/>
        </w:rPr>
      </w:pPr>
    </w:p>
    <w:p>
      <w:pPr>
        <w:autoSpaceDE w:val="0"/>
        <w:autoSpaceDN w:val="0"/>
        <w:adjustRightInd w:val="0"/>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rPr>
          <w:rFonts w:ascii="宋体" w:cs="Times New Roman"/>
          <w:color w:val="auto"/>
          <w:highlight w:val="none"/>
        </w:rPr>
      </w:pPr>
    </w:p>
    <w:p>
      <w:pPr>
        <w:pStyle w:val="24"/>
        <w:jc w:val="center"/>
        <w:rPr>
          <w:rFonts w:ascii="宋体" w:cs="Times New Roman"/>
          <w:color w:val="auto"/>
          <w:highlight w:val="none"/>
        </w:rPr>
      </w:pPr>
    </w:p>
    <w:p>
      <w:pPr>
        <w:jc w:val="center"/>
        <w:outlineLvl w:val="0"/>
        <w:rPr>
          <w:rFonts w:hint="eastAsia" w:ascii="宋体" w:hAnsi="宋体" w:cs="宋体"/>
          <w:b/>
          <w:bCs/>
          <w:color w:val="auto"/>
          <w:sz w:val="36"/>
          <w:szCs w:val="36"/>
          <w:highlight w:val="none"/>
        </w:rPr>
      </w:pPr>
      <w:bookmarkStart w:id="396" w:name="_Toc27250"/>
      <w:bookmarkStart w:id="397" w:name="_Toc15645"/>
      <w:bookmarkStart w:id="398" w:name="_Toc30878"/>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录（根据本项目需要，由供应商自制）</w:t>
      </w:r>
      <w:bookmarkEnd w:id="396"/>
      <w:bookmarkEnd w:id="397"/>
      <w:bookmarkEnd w:id="398"/>
    </w:p>
    <w:p>
      <w:pPr>
        <w:rPr>
          <w:color w:val="auto"/>
          <w:highlight w:val="none"/>
        </w:rPr>
      </w:pPr>
      <w:r>
        <w:rPr>
          <w:rFonts w:hint="eastAsia" w:ascii="宋体" w:hAnsi="宋体" w:cs="宋体"/>
          <w:b/>
          <w:bCs/>
          <w:color w:val="auto"/>
          <w:sz w:val="36"/>
          <w:szCs w:val="36"/>
          <w:highlight w:val="none"/>
        </w:rPr>
        <w:br w:type="page"/>
      </w:r>
    </w:p>
    <w:p>
      <w:pPr>
        <w:numPr>
          <w:ilvl w:val="4"/>
          <w:numId w:val="5"/>
        </w:numPr>
        <w:tabs>
          <w:tab w:val="left" w:pos="540"/>
        </w:tabs>
        <w:autoSpaceDE w:val="0"/>
        <w:autoSpaceDN w:val="0"/>
        <w:adjustRightInd w:val="0"/>
        <w:spacing w:line="360" w:lineRule="auto"/>
        <w:ind w:left="540" w:hanging="540"/>
        <w:outlineLvl w:val="0"/>
        <w:rPr>
          <w:rFonts w:ascii="宋体" w:cs="Times New Roman"/>
          <w:b/>
          <w:bCs/>
          <w:color w:val="auto"/>
          <w:sz w:val="24"/>
          <w:szCs w:val="24"/>
          <w:highlight w:val="none"/>
        </w:rPr>
      </w:pPr>
      <w:bookmarkStart w:id="399" w:name="_Toc20364"/>
      <w:r>
        <w:rPr>
          <w:rFonts w:hint="eastAsia" w:ascii="宋体" w:hAnsi="宋体" w:cs="宋体"/>
          <w:b/>
          <w:bCs/>
          <w:color w:val="auto"/>
          <w:sz w:val="24"/>
          <w:szCs w:val="24"/>
          <w:highlight w:val="none"/>
        </w:rPr>
        <w:t>投标函</w:t>
      </w:r>
      <w:bookmarkEnd w:id="399"/>
    </w:p>
    <w:p>
      <w:pPr>
        <w:pStyle w:val="14"/>
        <w:rPr>
          <w:rFonts w:ascii="宋体" w:cs="Times New Roman"/>
          <w:b/>
          <w:b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宋体" w:cs="Times New Roman"/>
          <w:color w:val="auto"/>
          <w:kern w:val="0"/>
          <w:sz w:val="24"/>
          <w:szCs w:val="24"/>
          <w:highlight w:val="none"/>
        </w:rPr>
      </w:pPr>
      <w:r>
        <w:rPr>
          <w:rFonts w:hint="eastAsia" w:ascii="宋体" w:hAnsi="宋体" w:cs="宋体"/>
          <w:snapToGrid w:val="0"/>
          <w:color w:val="auto"/>
          <w:kern w:val="0"/>
          <w:sz w:val="24"/>
          <w:szCs w:val="24"/>
          <w:highlight w:val="none"/>
          <w:u w:val="single"/>
          <w:lang w:val="zh-CN"/>
        </w:rPr>
        <w:t>惠通建管科技有限公司</w:t>
      </w:r>
      <w:r>
        <w:rPr>
          <w:rFonts w:hint="eastAsia" w:ascii="宋体" w:hAnsi="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2" w:firstLine="528" w:firstLineChars="22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依据贵方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（采购项目名称）（采购编号）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项目磋商采购的磋商邀请，我方代表（姓名、职务）经正式授权并代表供应商（供应商的全称、地址）提交响应文件正本</w:t>
      </w:r>
      <w:r>
        <w:rPr>
          <w:rFonts w:hint="eastAsia" w:ascii="宋体" w:hAnsi="宋体" w:cs="宋体"/>
          <w:color w:val="auto"/>
          <w:kern w:val="0"/>
          <w:sz w:val="24"/>
          <w:szCs w:val="24"/>
          <w:highlight w:val="none"/>
          <w:u w:val="single"/>
        </w:rPr>
        <w:t>一</w:t>
      </w:r>
      <w:r>
        <w:rPr>
          <w:rFonts w:hint="eastAsia" w:ascii="宋体" w:hAnsi="宋体" w:cs="宋体"/>
          <w:color w:val="auto"/>
          <w:kern w:val="0"/>
          <w:sz w:val="24"/>
          <w:szCs w:val="24"/>
          <w:highlight w:val="none"/>
        </w:rPr>
        <w:t>份，副本</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二</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在此，我方宣布同意如下：</w:t>
      </w:r>
    </w:p>
    <w:p>
      <w:pPr>
        <w:keepNext w:val="0"/>
        <w:keepLines w:val="0"/>
        <w:pageBreakBefore w:val="0"/>
        <w:widowControl w:val="0"/>
        <w:numPr>
          <w:ilvl w:val="6"/>
          <w:numId w:val="0"/>
        </w:numPr>
        <w:tabs>
          <w:tab w:val="left" w:pos="840"/>
        </w:tabs>
        <w:kinsoku/>
        <w:wordWrap/>
        <w:overflowPunct/>
        <w:topLinePunct w:val="0"/>
        <w:autoSpaceDE w:val="0"/>
        <w:autoSpaceDN w:val="0"/>
        <w:bidi w:val="0"/>
        <w:adjustRightInd w:val="0"/>
        <w:snapToGrid/>
        <w:spacing w:line="380" w:lineRule="exact"/>
        <w:ind w:left="0"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 xml:space="preserve">所附《报价一览表》中投标报价为 </w:t>
      </w:r>
      <w:r>
        <w:rPr>
          <w:rFonts w:hint="eastAsia" w:ascii="宋体" w:hAnsi="宋体" w:cs="宋体"/>
          <w:color w:val="auto"/>
          <w:kern w:val="0"/>
          <w:sz w:val="24"/>
          <w:szCs w:val="24"/>
          <w:highlight w:val="none"/>
          <w:u w:val="single"/>
        </w:rPr>
        <w:t xml:space="preserve">    （注明币种，并用大写和小写表示的投标总报价）</w:t>
      </w:r>
      <w:r>
        <w:rPr>
          <w:rFonts w:hint="eastAsia" w:ascii="宋体" w:hAnsi="宋体" w:cs="宋体"/>
          <w:color w:val="auto"/>
          <w:kern w:val="0"/>
          <w:sz w:val="24"/>
          <w:szCs w:val="24"/>
          <w:highlight w:val="none"/>
        </w:rPr>
        <w:t>。</w:t>
      </w:r>
    </w:p>
    <w:p>
      <w:pPr>
        <w:keepNext w:val="0"/>
        <w:keepLines w:val="0"/>
        <w:pageBreakBefore w:val="0"/>
        <w:widowControl w:val="0"/>
        <w:numPr>
          <w:ilvl w:val="6"/>
          <w:numId w:val="0"/>
        </w:numPr>
        <w:tabs>
          <w:tab w:val="left" w:pos="840"/>
        </w:tabs>
        <w:kinsoku/>
        <w:wordWrap/>
        <w:overflowPunct/>
        <w:topLinePunct w:val="0"/>
        <w:autoSpaceDE w:val="0"/>
        <w:autoSpaceDN w:val="0"/>
        <w:bidi w:val="0"/>
        <w:adjustRightInd w:val="0"/>
        <w:snapToGrid/>
        <w:spacing w:line="380" w:lineRule="exact"/>
        <w:ind w:left="0"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将按磋商文件的约定履行合同责任和义务。</w:t>
      </w:r>
    </w:p>
    <w:p>
      <w:pPr>
        <w:keepNext w:val="0"/>
        <w:keepLines w:val="0"/>
        <w:pageBreakBefore w:val="0"/>
        <w:widowControl w:val="0"/>
        <w:numPr>
          <w:ilvl w:val="6"/>
          <w:numId w:val="0"/>
        </w:numPr>
        <w:tabs>
          <w:tab w:val="left" w:pos="840"/>
        </w:tabs>
        <w:kinsoku/>
        <w:wordWrap/>
        <w:overflowPunct/>
        <w:topLinePunct w:val="0"/>
        <w:autoSpaceDE w:val="0"/>
        <w:autoSpaceDN w:val="0"/>
        <w:bidi w:val="0"/>
        <w:adjustRightInd w:val="0"/>
        <w:snapToGrid/>
        <w:spacing w:line="380" w:lineRule="exact"/>
        <w:ind w:left="0"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已详细审查全部磋商文件及补充通知等文件（如果有的话），我们完全理解并对此无异议。</w:t>
      </w:r>
    </w:p>
    <w:p>
      <w:pPr>
        <w:keepNext w:val="0"/>
        <w:keepLines w:val="0"/>
        <w:pageBreakBefore w:val="0"/>
        <w:widowControl w:val="0"/>
        <w:numPr>
          <w:ilvl w:val="6"/>
          <w:numId w:val="0"/>
        </w:numPr>
        <w:tabs>
          <w:tab w:val="left" w:pos="840"/>
        </w:tabs>
        <w:kinsoku/>
        <w:wordWrap/>
        <w:overflowPunct/>
        <w:topLinePunct w:val="0"/>
        <w:autoSpaceDE w:val="0"/>
        <w:autoSpaceDN w:val="0"/>
        <w:bidi w:val="0"/>
        <w:adjustRightInd w:val="0"/>
        <w:snapToGrid/>
        <w:spacing w:line="380" w:lineRule="exact"/>
        <w:ind w:left="0"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本响应文件的有效期自开标之日起后</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60</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个日历日。</w:t>
      </w:r>
    </w:p>
    <w:p>
      <w:pPr>
        <w:keepNext w:val="0"/>
        <w:keepLines w:val="0"/>
        <w:pageBreakBefore w:val="0"/>
        <w:widowControl w:val="0"/>
        <w:numPr>
          <w:ilvl w:val="6"/>
          <w:numId w:val="0"/>
        </w:numPr>
        <w:tabs>
          <w:tab w:val="left" w:pos="840"/>
        </w:tabs>
        <w:kinsoku/>
        <w:wordWrap/>
        <w:overflowPunct/>
        <w:topLinePunct w:val="0"/>
        <w:autoSpaceDE w:val="0"/>
        <w:autoSpaceDN w:val="0"/>
        <w:bidi w:val="0"/>
        <w:adjustRightInd w:val="0"/>
        <w:snapToGrid/>
        <w:spacing w:line="380" w:lineRule="exact"/>
        <w:ind w:left="0" w:firstLine="480" w:firstLineChars="200"/>
        <w:textAlignment w:val="auto"/>
        <w:rPr>
          <w:rFonts w:ascii="宋体" w:cs="Times New Roman"/>
          <w:color w:val="auto"/>
          <w:kern w:val="0"/>
          <w:sz w:val="24"/>
          <w:szCs w:val="24"/>
          <w:highlight w:val="none"/>
        </w:rPr>
      </w:pPr>
      <w:r>
        <w:rPr>
          <w:rFonts w:hint="eastAsia" w:ascii="宋体" w:hAnsi="宋体" w:cs="宋体"/>
          <w:color w:val="auto"/>
          <w:kern w:val="0"/>
          <w:sz w:val="24"/>
          <w:szCs w:val="24"/>
          <w:highlight w:val="none"/>
        </w:rPr>
        <w:t>同意提供按照贵方可能要求的与其报价有关的一切数据或资料。</w:t>
      </w:r>
    </w:p>
    <w:p>
      <w:pPr>
        <w:pStyle w:val="2"/>
        <w:keepNext w:val="0"/>
        <w:keepLines w:val="0"/>
        <w:pageBreakBefore w:val="0"/>
        <w:widowControl w:val="0"/>
        <w:numPr>
          <w:ilvl w:val="6"/>
          <w:numId w:val="0"/>
        </w:numPr>
        <w:kinsoku/>
        <w:wordWrap/>
        <w:overflowPunct/>
        <w:topLinePunct w:val="0"/>
        <w:bidi w:val="0"/>
        <w:snapToGrid/>
        <w:spacing w:line="380" w:lineRule="exact"/>
        <w:ind w:left="0" w:leftChars="0" w:firstLine="480" w:firstLineChars="200"/>
        <w:textAlignment w:val="auto"/>
        <w:rPr>
          <w:rFonts w:hint="eastAsia" w:ascii="宋体" w:hAnsi="宋体"/>
          <w:color w:val="auto"/>
          <w:kern w:val="0"/>
          <w:highlight w:val="none"/>
        </w:rPr>
      </w:pPr>
      <w:r>
        <w:rPr>
          <w:rFonts w:hint="eastAsia" w:ascii="宋体" w:hAnsi="宋体"/>
          <w:color w:val="auto"/>
          <w:kern w:val="0"/>
          <w:highlight w:val="none"/>
        </w:rPr>
        <w:t>同意项目执行过程中不转包、不分包。</w:t>
      </w:r>
      <w:bookmarkStart w:id="400" w:name="_Toc1550"/>
      <w:bookmarkStart w:id="401" w:name="_Toc32437"/>
      <w:bookmarkStart w:id="402" w:name="_Toc447024891"/>
      <w:bookmarkStart w:id="403" w:name="_Toc16811"/>
      <w:bookmarkStart w:id="404" w:name="_Toc15994"/>
      <w:bookmarkStart w:id="405" w:name="_Toc32476"/>
      <w:bookmarkStart w:id="406" w:name="_Toc22369"/>
      <w:bookmarkStart w:id="407" w:name="_Toc25304"/>
      <w:bookmarkStart w:id="408" w:name="_Toc16202"/>
      <w:bookmarkStart w:id="409" w:name="_Toc1206"/>
      <w:bookmarkStart w:id="410" w:name="_Toc446599924"/>
      <w:bookmarkStart w:id="411" w:name="_Toc6014"/>
      <w:bookmarkStart w:id="412" w:name="_Toc421620202"/>
      <w:bookmarkStart w:id="413" w:name="_Toc16164"/>
    </w:p>
    <w:p>
      <w:pPr>
        <w:pStyle w:val="2"/>
        <w:keepNext w:val="0"/>
        <w:keepLines w:val="0"/>
        <w:pageBreakBefore w:val="0"/>
        <w:widowControl w:val="0"/>
        <w:numPr>
          <w:ilvl w:val="6"/>
          <w:numId w:val="0"/>
        </w:numPr>
        <w:kinsoku/>
        <w:wordWrap/>
        <w:overflowPunct/>
        <w:topLinePunct w:val="0"/>
        <w:bidi w:val="0"/>
        <w:snapToGrid/>
        <w:spacing w:line="38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重要声明：</w:t>
      </w:r>
    </w:p>
    <w:p>
      <w:pPr>
        <w:keepNext w:val="0"/>
        <w:keepLines w:val="0"/>
        <w:pageBreakBefore w:val="0"/>
        <w:widowControl w:val="0"/>
        <w:kinsoku/>
        <w:wordWrap/>
        <w:overflowPunct/>
        <w:topLinePunct w:val="0"/>
        <w:autoSpaceDE w:val="0"/>
        <w:autoSpaceDN w:val="0"/>
        <w:bidi w:val="0"/>
        <w:adjustRightInd w:val="0"/>
        <w:snapToGrid/>
        <w:spacing w:line="380" w:lineRule="exact"/>
        <w:ind w:left="15" w:leftChars="7" w:right="246" w:firstLine="403" w:firstLineChars="168"/>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1)与我方单位负责人为同一人的其他单位名称:</w:t>
      </w:r>
    </w:p>
    <w:p>
      <w:pPr>
        <w:keepNext w:val="0"/>
        <w:keepLines w:val="0"/>
        <w:pageBreakBefore w:val="0"/>
        <w:widowControl w:val="0"/>
        <w:kinsoku/>
        <w:wordWrap/>
        <w:overflowPunct/>
        <w:topLinePunct w:val="0"/>
        <w:autoSpaceDE w:val="0"/>
        <w:autoSpaceDN w:val="0"/>
        <w:bidi w:val="0"/>
        <w:adjustRightInd w:val="0"/>
        <w:snapToGrid/>
        <w:spacing w:line="380" w:lineRule="exact"/>
        <w:ind w:left="15" w:leftChars="7" w:right="246" w:firstLine="403" w:firstLineChars="168"/>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有，具体单位名称为:</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(由投标人如实填写)</w:t>
      </w:r>
      <w:r>
        <w:rPr>
          <w:rFonts w:hint="eastAsia" w:ascii="宋体" w:hAnsi="宋体" w:eastAsia="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ind w:left="15" w:leftChars="7" w:right="246" w:firstLine="403" w:firstLineChars="168"/>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2)与我方存在控股、管理关系的其他单位的名称:</w:t>
      </w:r>
    </w:p>
    <w:p>
      <w:pPr>
        <w:keepNext w:val="0"/>
        <w:keepLines w:val="0"/>
        <w:pageBreakBefore w:val="0"/>
        <w:widowControl w:val="0"/>
        <w:kinsoku/>
        <w:wordWrap/>
        <w:overflowPunct/>
        <w:topLinePunct w:val="0"/>
        <w:autoSpaceDE w:val="0"/>
        <w:autoSpaceDN w:val="0"/>
        <w:bidi w:val="0"/>
        <w:adjustRightInd w:val="0"/>
        <w:snapToGrid/>
        <w:spacing w:line="380" w:lineRule="exact"/>
        <w:ind w:left="15" w:leftChars="7" w:right="246" w:firstLine="403" w:firstLineChars="168"/>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有，具体单位名称为:</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(由投标人如实填写)</w:t>
      </w:r>
      <w:r>
        <w:rPr>
          <w:rFonts w:hint="eastAsia" w:ascii="宋体" w:hAnsi="宋体" w:eastAsia="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ind w:left="411" w:leftChars="174" w:right="246" w:hanging="46" w:hangingChars="2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(备注:以上2项声明，必须如实选择，选中项用</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1"/>
          <w:szCs w:val="21"/>
          <w:highlight w:val="none"/>
        </w:rPr>
        <w:t>表示，未选中项用</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1"/>
          <w:szCs w:val="21"/>
          <w:highlight w:val="none"/>
        </w:rPr>
        <w:t>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outlineLvl w:val="1"/>
        <w:rPr>
          <w:rFonts w:hint="eastAsia" w:ascii="宋体" w:hAnsi="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未为本采购项目提供过整体设计、规范编制或者项目管理、监理、检测等服务；</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hint="eastAsia" w:ascii="宋体" w:hAnsi="宋体"/>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hint="eastAsia" w:ascii="宋体" w:hAnsi="宋体"/>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kern w:val="0"/>
          <w:sz w:val="24"/>
          <w:szCs w:val="24"/>
          <w:highlight w:val="none"/>
          <w:u w:val="single"/>
        </w:rPr>
      </w:pPr>
      <w:r>
        <w:rPr>
          <w:rFonts w:hint="eastAsia" w:ascii="宋体" w:hAnsi="宋体"/>
          <w:color w:val="auto"/>
          <w:kern w:val="0"/>
          <w:sz w:val="24"/>
          <w:szCs w:val="24"/>
          <w:highlight w:val="none"/>
        </w:rPr>
        <w:t>地  址：</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kern w:val="0"/>
          <w:sz w:val="24"/>
          <w:szCs w:val="24"/>
          <w:highlight w:val="none"/>
          <w:u w:val="single"/>
        </w:rPr>
      </w:pPr>
      <w:r>
        <w:rPr>
          <w:rFonts w:hint="eastAsia" w:ascii="宋体" w:hAnsi="宋体"/>
          <w:color w:val="auto"/>
          <w:kern w:val="0"/>
          <w:sz w:val="24"/>
          <w:szCs w:val="24"/>
          <w:highlight w:val="none"/>
        </w:rPr>
        <w:t>电  话：</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kern w:val="0"/>
          <w:sz w:val="24"/>
          <w:szCs w:val="24"/>
          <w:highlight w:val="none"/>
          <w:u w:val="single"/>
        </w:rPr>
      </w:pPr>
      <w:r>
        <w:rPr>
          <w:rFonts w:hint="eastAsia" w:ascii="宋体" w:hAnsi="宋体"/>
          <w:color w:val="auto"/>
          <w:kern w:val="0"/>
          <w:sz w:val="24"/>
          <w:szCs w:val="24"/>
          <w:highlight w:val="none"/>
        </w:rPr>
        <w:t>电子函件：</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sz w:val="24"/>
          <w:szCs w:val="24"/>
          <w:highlight w:val="none"/>
        </w:rPr>
      </w:pPr>
      <w:r>
        <w:rPr>
          <w:rFonts w:hint="eastAsia" w:ascii="宋体" w:hAnsi="宋体" w:cs="宋体"/>
          <w:color w:val="auto"/>
          <w:sz w:val="24"/>
          <w:szCs w:val="24"/>
          <w:highlight w:val="none"/>
        </w:rPr>
        <w:t>法定代表人或</w:t>
      </w: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授权代表（签字）：</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lang w:eastAsia="zh-CN"/>
        </w:rPr>
        <w:t>供应商名称</w:t>
      </w:r>
      <w:r>
        <w:rPr>
          <w:rFonts w:hint="eastAsia" w:ascii="宋体" w:hAnsi="宋体"/>
          <w:color w:val="auto"/>
          <w:sz w:val="24"/>
          <w:szCs w:val="24"/>
          <w:highlight w:val="none"/>
        </w:rPr>
        <w:t>(加盖公章)：</w:t>
      </w:r>
    </w:p>
    <w:p>
      <w:pPr>
        <w:keepNext w:val="0"/>
        <w:keepLines w:val="0"/>
        <w:pageBreakBefore w:val="0"/>
        <w:widowControl w:val="0"/>
        <w:kinsoku/>
        <w:wordWrap/>
        <w:overflowPunct/>
        <w:topLinePunct w:val="0"/>
        <w:autoSpaceDE w:val="0"/>
        <w:autoSpaceDN w:val="0"/>
        <w:bidi w:val="0"/>
        <w:adjustRightInd w:val="0"/>
        <w:snapToGrid/>
        <w:spacing w:line="380" w:lineRule="exact"/>
        <w:ind w:right="246"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日    期：</w:t>
      </w:r>
    </w:p>
    <w:p>
      <w:pPr>
        <w:rPr>
          <w:rFonts w:ascii="宋体" w:cs="Times New Roman"/>
          <w:b/>
          <w:bCs/>
          <w:color w:val="auto"/>
          <w:sz w:val="24"/>
          <w:szCs w:val="24"/>
          <w:highlight w:val="none"/>
        </w:rPr>
      </w:pPr>
      <w:r>
        <w:rPr>
          <w:rFonts w:hint="eastAsia" w:ascii="宋体" w:hAnsi="宋体" w:cs="宋体"/>
          <w:b/>
          <w:bCs/>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ascii="宋体" w:cs="Times New Roman"/>
          <w:b/>
          <w:bCs/>
          <w:color w:val="auto"/>
          <w:sz w:val="24"/>
          <w:szCs w:val="24"/>
          <w:highlight w:val="none"/>
        </w:rPr>
      </w:pPr>
      <w:bookmarkStart w:id="414" w:name="_Toc29160"/>
      <w:r>
        <w:rPr>
          <w:rFonts w:hint="eastAsia" w:ascii="宋体" w:hAnsi="宋体" w:cs="宋体"/>
          <w:b/>
          <w:bCs/>
          <w:color w:val="auto"/>
          <w:sz w:val="24"/>
          <w:szCs w:val="24"/>
          <w:highlight w:val="none"/>
        </w:rPr>
        <w:t>报价一览表</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autoSpaceDE w:val="0"/>
        <w:autoSpaceDN w:val="0"/>
        <w:adjustRightInd w:val="0"/>
        <w:jc w:val="center"/>
        <w:rPr>
          <w:rFonts w:ascii="宋体" w:cs="Times New Roman"/>
          <w:color w:val="auto"/>
          <w:sz w:val="24"/>
          <w:szCs w:val="24"/>
          <w:highlight w:val="none"/>
        </w:rPr>
      </w:pPr>
      <w:r>
        <w:rPr>
          <w:rFonts w:ascii="宋体" w:hAnsi="宋体" w:cs="宋体"/>
          <w:color w:val="auto"/>
          <w:sz w:val="24"/>
          <w:szCs w:val="24"/>
          <w:highlight w:val="none"/>
        </w:rPr>
        <w:t xml:space="preserve"> </w:t>
      </w:r>
    </w:p>
    <w:p>
      <w:pPr>
        <w:autoSpaceDE w:val="0"/>
        <w:autoSpaceDN w:val="0"/>
        <w:adjustRightInd w:val="0"/>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项目名称：</w:t>
      </w:r>
    </w:p>
    <w:p>
      <w:pPr>
        <w:autoSpaceDE w:val="0"/>
        <w:autoSpaceDN w:val="0"/>
        <w:adjustRightInd w:val="0"/>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采购编号：</w:t>
      </w:r>
    </w:p>
    <w:tbl>
      <w:tblPr>
        <w:tblStyle w:val="18"/>
        <w:tblW w:w="8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5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865" w:type="dxa"/>
            <w:tcBorders>
              <w:top w:val="single" w:color="auto" w:sz="4" w:space="0"/>
              <w:bottom w:val="single" w:color="auto" w:sz="4" w:space="0"/>
              <w:right w:val="single" w:color="auto" w:sz="4" w:space="0"/>
            </w:tcBorders>
            <w:vAlign w:val="center"/>
          </w:tcPr>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供应商名称</w:t>
            </w:r>
          </w:p>
        </w:tc>
        <w:tc>
          <w:tcPr>
            <w:tcW w:w="5675" w:type="dxa"/>
            <w:tcBorders>
              <w:top w:val="single" w:color="auto" w:sz="4" w:space="0"/>
              <w:left w:val="single" w:color="auto" w:sz="4" w:space="0"/>
              <w:bottom w:val="single" w:color="auto" w:sz="4" w:space="0"/>
            </w:tcBorders>
            <w:vAlign w:val="center"/>
          </w:tcPr>
          <w:p>
            <w:pPr>
              <w:spacing w:line="360" w:lineRule="auto"/>
              <w:jc w:val="center"/>
              <w:rPr>
                <w:rFonts w:asci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865" w:type="dxa"/>
            <w:tcBorders>
              <w:top w:val="single" w:color="auto" w:sz="4" w:space="0"/>
              <w:bottom w:val="single" w:color="auto" w:sz="4" w:space="0"/>
              <w:right w:val="single" w:color="auto" w:sz="4" w:space="0"/>
            </w:tcBorders>
            <w:vAlign w:val="center"/>
          </w:tcPr>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投标总价（元）</w:t>
            </w:r>
          </w:p>
        </w:tc>
        <w:tc>
          <w:tcPr>
            <w:tcW w:w="5675" w:type="dxa"/>
            <w:tcBorders>
              <w:top w:val="single" w:color="auto" w:sz="4" w:space="0"/>
              <w:left w:val="single" w:color="auto" w:sz="4" w:space="0"/>
              <w:bottom w:val="single" w:color="auto" w:sz="4" w:space="0"/>
            </w:tcBorders>
            <w:vAlign w:val="center"/>
          </w:tcPr>
          <w:p>
            <w:pPr>
              <w:spacing w:line="360" w:lineRule="auto"/>
              <w:jc w:val="left"/>
              <w:rPr>
                <w:rFonts w:ascii="宋体" w:cs="Times New Roman"/>
                <w:color w:val="auto"/>
                <w:sz w:val="24"/>
                <w:szCs w:val="24"/>
                <w:highlight w:val="none"/>
              </w:rPr>
            </w:pPr>
            <w:r>
              <w:rPr>
                <w:rFonts w:hint="eastAsia" w:ascii="宋体" w:cs="Times New Roman"/>
                <w:color w:val="auto"/>
                <w:sz w:val="24"/>
                <w:szCs w:val="24"/>
                <w:highlight w:val="none"/>
              </w:rPr>
              <w:t>小写：         元</w:t>
            </w:r>
          </w:p>
          <w:p>
            <w:pPr>
              <w:spacing w:line="360" w:lineRule="auto"/>
              <w:jc w:val="left"/>
              <w:rPr>
                <w:rFonts w:ascii="宋体" w:cs="Times New Roman"/>
                <w:color w:val="auto"/>
                <w:sz w:val="24"/>
                <w:szCs w:val="24"/>
                <w:highlight w:val="none"/>
              </w:rPr>
            </w:pPr>
            <w:r>
              <w:rPr>
                <w:rFonts w:hint="eastAsia" w:ascii="宋体" w:cs="Times New Roman"/>
                <w:color w:val="auto"/>
                <w:sz w:val="24"/>
                <w:szCs w:val="24"/>
                <w:highlight w:val="none"/>
              </w:rPr>
              <w:t>大写：         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865" w:type="dxa"/>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c>
          <w:tcPr>
            <w:tcW w:w="5675" w:type="dxa"/>
            <w:tcBorders>
              <w:top w:val="single" w:color="auto" w:sz="4" w:space="0"/>
              <w:left w:val="single" w:color="auto" w:sz="4" w:space="0"/>
              <w:bottom w:val="single" w:color="auto" w:sz="4" w:space="0"/>
            </w:tcBorders>
            <w:vAlign w:val="center"/>
          </w:tcPr>
          <w:p>
            <w:pPr>
              <w:spacing w:line="360" w:lineRule="auto"/>
              <w:jc w:val="left"/>
              <w:rPr>
                <w:rFonts w:hint="eastAsia" w:ascii="宋体" w:cs="Times New Roman"/>
                <w:color w:val="auto"/>
                <w:sz w:val="24"/>
                <w:szCs w:val="24"/>
                <w:highlight w:val="none"/>
              </w:rPr>
            </w:pPr>
          </w:p>
        </w:tc>
      </w:tr>
    </w:tbl>
    <w:p>
      <w:pPr>
        <w:autoSpaceDE w:val="0"/>
        <w:autoSpaceDN w:val="0"/>
        <w:adjustRightInd w:val="0"/>
        <w:spacing w:line="360" w:lineRule="auto"/>
        <w:ind w:firstLine="697"/>
        <w:jc w:val="left"/>
        <w:rPr>
          <w:rFonts w:ascii="宋体" w:cs="Times New Roman"/>
          <w:color w:val="auto"/>
          <w:kern w:val="0"/>
          <w:sz w:val="24"/>
          <w:szCs w:val="24"/>
          <w:highlight w:val="none"/>
        </w:rPr>
      </w:pPr>
      <w:r>
        <w:rPr>
          <w:rFonts w:ascii="宋体" w:hAnsi="宋体" w:cs="宋体"/>
          <w:color w:val="auto"/>
          <w:kern w:val="0"/>
          <w:sz w:val="24"/>
          <w:szCs w:val="24"/>
          <w:highlight w:val="none"/>
        </w:rPr>
        <w:t xml:space="preserve"> </w:t>
      </w:r>
    </w:p>
    <w:p>
      <w:pPr>
        <w:adjustRightInd w:val="0"/>
        <w:snapToGrid w:val="0"/>
        <w:spacing w:line="360" w:lineRule="auto"/>
        <w:ind w:left="-88" w:leftChars="-42"/>
        <w:rPr>
          <w:rFonts w:ascii="宋体" w:cs="Times New Roman"/>
          <w:color w:val="auto"/>
          <w:sz w:val="24"/>
          <w:szCs w:val="24"/>
          <w:highlight w:val="none"/>
        </w:rPr>
      </w:pPr>
      <w:r>
        <w:rPr>
          <w:rFonts w:hint="eastAsia" w:ascii="宋体" w:hAnsi="宋体" w:cs="宋体"/>
          <w:color w:val="auto"/>
          <w:sz w:val="24"/>
          <w:szCs w:val="24"/>
          <w:highlight w:val="none"/>
        </w:rPr>
        <w:t>说明：</w:t>
      </w:r>
    </w:p>
    <w:p>
      <w:pPr>
        <w:adjustRightInd w:val="0"/>
        <w:snapToGrid w:val="0"/>
        <w:spacing w:line="360" w:lineRule="auto"/>
        <w:ind w:left="-88" w:leftChars="-42" w:firstLine="720" w:firstLineChars="300"/>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）所有价格均系用人民币表示，单位为元，精确到小数点后二位。</w:t>
      </w:r>
    </w:p>
    <w:p>
      <w:pPr>
        <w:adjustRightInd w:val="0"/>
        <w:snapToGrid w:val="0"/>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highlight w:val="none"/>
        </w:rPr>
        <w:t>价格应按照</w:t>
      </w:r>
      <w:r>
        <w:rPr>
          <w:rFonts w:hint="eastAsia" w:ascii="宋体" w:hAnsi="宋体" w:cs="宋体"/>
          <w:color w:val="auto"/>
          <w:kern w:val="0"/>
          <w:sz w:val="24"/>
          <w:highlight w:val="none"/>
        </w:rPr>
        <w:t>第</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采购内容及要求</w:t>
      </w:r>
      <w:r>
        <w:rPr>
          <w:rFonts w:hint="eastAsia" w:ascii="宋体" w:hAnsi="宋体" w:cs="宋体"/>
          <w:color w:val="auto"/>
          <w:sz w:val="24"/>
          <w:highlight w:val="none"/>
        </w:rPr>
        <w:t>报价。</w:t>
      </w:r>
    </w:p>
    <w:p>
      <w:pPr>
        <w:adjustRightInd w:val="0"/>
        <w:snapToGrid w:val="0"/>
        <w:spacing w:line="360" w:lineRule="auto"/>
        <w:ind w:firstLine="600" w:firstLineChars="250"/>
        <w:rPr>
          <w:rFonts w:ascii="宋体" w:hAnsi="宋体" w:cs="宋体"/>
          <w:color w:val="auto"/>
          <w:sz w:val="24"/>
          <w:szCs w:val="24"/>
          <w:highlight w:val="none"/>
        </w:rPr>
      </w:pPr>
    </w:p>
    <w:p>
      <w:pPr>
        <w:adjustRightInd w:val="0"/>
        <w:snapToGrid w:val="0"/>
        <w:spacing w:line="360" w:lineRule="auto"/>
        <w:ind w:left="-88" w:leftChars="-42"/>
        <w:rPr>
          <w:rFonts w:ascii="宋体" w:cs="Times New Roman"/>
          <w:color w:val="auto"/>
          <w:sz w:val="24"/>
          <w:szCs w:val="24"/>
          <w:highlight w:val="none"/>
        </w:rPr>
      </w:pPr>
    </w:p>
    <w:p>
      <w:pPr>
        <w:adjustRightInd w:val="0"/>
        <w:snapToGrid w:val="0"/>
        <w:spacing w:line="360" w:lineRule="auto"/>
        <w:ind w:left="-88" w:leftChars="-42"/>
        <w:rPr>
          <w:rFonts w:ascii="宋体" w:cs="Times New Roman"/>
          <w:color w:val="auto"/>
          <w:sz w:val="24"/>
          <w:szCs w:val="24"/>
          <w:highlight w:val="none"/>
        </w:rPr>
      </w:pPr>
      <w:r>
        <w:rPr>
          <w:rFonts w:hint="eastAsia" w:ascii="宋体" w:hAnsi="宋体" w:cs="宋体"/>
          <w:color w:val="auto"/>
          <w:sz w:val="24"/>
          <w:szCs w:val="24"/>
          <w:highlight w:val="none"/>
        </w:rPr>
        <w:t>供应商法定代表人或授权代表签字：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p>
    <w:p>
      <w:pPr>
        <w:adjustRightInd w:val="0"/>
        <w:snapToGrid w:val="0"/>
        <w:spacing w:line="360" w:lineRule="auto"/>
        <w:ind w:left="-88" w:leftChars="-42"/>
        <w:rPr>
          <w:rFonts w:ascii="宋体" w:cs="Times New Roman"/>
          <w:color w:val="auto"/>
          <w:sz w:val="24"/>
          <w:szCs w:val="24"/>
          <w:highlight w:val="none"/>
          <w:u w:val="singl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u w:val="single"/>
        </w:rPr>
        <w:t xml:space="preserve">                                               </w:t>
      </w:r>
    </w:p>
    <w:p>
      <w:pPr>
        <w:adjustRightInd w:val="0"/>
        <w:snapToGrid w:val="0"/>
        <w:spacing w:line="360" w:lineRule="auto"/>
        <w:ind w:left="-88" w:leftChars="-42"/>
        <w:rPr>
          <w:rFonts w:ascii="宋体" w:cs="Times New Roman"/>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r>
        <w:rPr>
          <w:rFonts w:ascii="宋体" w:cs="Times New Roman"/>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rPr>
      </w:pPr>
      <w:bookmarkStart w:id="415" w:name="_Toc28583"/>
      <w:bookmarkStart w:id="416" w:name="_Toc2257"/>
      <w:bookmarkStart w:id="417" w:name="_Toc10422"/>
      <w:bookmarkStart w:id="418" w:name="_Toc238276247"/>
      <w:bookmarkStart w:id="419" w:name="_Toc236473303"/>
      <w:r>
        <w:rPr>
          <w:rFonts w:hint="eastAsia" w:ascii="宋体" w:hAnsi="宋体" w:eastAsia="宋体" w:cs="宋体"/>
          <w:b/>
          <w:bCs/>
          <w:color w:val="auto"/>
          <w:sz w:val="24"/>
          <w:szCs w:val="24"/>
          <w:highlight w:val="none"/>
        </w:rPr>
        <w:t>法定代表人身份证明书</w:t>
      </w:r>
      <w:bookmarkEnd w:id="415"/>
      <w:bookmarkEnd w:id="416"/>
    </w:p>
    <w:p>
      <w:pPr>
        <w:spacing w:line="360" w:lineRule="auto"/>
        <w:ind w:firstLine="720" w:firstLineChars="300"/>
        <w:rPr>
          <w:rFonts w:ascii="宋体"/>
          <w:color w:val="auto"/>
          <w:kern w:val="0"/>
          <w:sz w:val="24"/>
          <w:szCs w:val="24"/>
          <w:highlight w:val="none"/>
        </w:rPr>
      </w:pPr>
      <w:r>
        <w:rPr>
          <w:rFonts w:hint="eastAsia" w:ascii="宋体" w:hAnsi="宋体" w:cs="宋体"/>
          <w:color w:val="auto"/>
          <w:kern w:val="0"/>
          <w:sz w:val="24"/>
          <w:szCs w:val="24"/>
          <w:highlight w:val="none"/>
        </w:rPr>
        <w:t>兹证明</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（姓名）</w:t>
      </w:r>
      <w:r>
        <w:rPr>
          <w:rFonts w:hint="eastAsia" w:ascii="宋体" w:hAnsi="宋体" w:cs="宋体"/>
          <w:color w:val="auto"/>
          <w:sz w:val="24"/>
          <w:szCs w:val="24"/>
          <w:highlight w:val="none"/>
        </w:rPr>
        <w:t>在我单位任</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kern w:val="0"/>
          <w:sz w:val="24"/>
          <w:szCs w:val="24"/>
          <w:highlight w:val="none"/>
        </w:rPr>
        <w:t>，系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响应供应商</w:t>
      </w:r>
      <w:r>
        <w:rPr>
          <w:rFonts w:hint="eastAsia" w:ascii="宋体" w:hAnsi="宋体" w:cs="宋体"/>
          <w:color w:val="auto"/>
          <w:kern w:val="0"/>
          <w:sz w:val="24"/>
          <w:szCs w:val="24"/>
          <w:highlight w:val="none"/>
        </w:rPr>
        <w:t>）的法定代表人。</w:t>
      </w:r>
    </w:p>
    <w:p>
      <w:pPr>
        <w:spacing w:line="360" w:lineRule="auto"/>
        <w:ind w:firstLine="720" w:firstLineChars="300"/>
        <w:rPr>
          <w:rFonts w:ascii="宋体"/>
          <w:color w:val="auto"/>
          <w:kern w:val="0"/>
          <w:sz w:val="24"/>
          <w:szCs w:val="24"/>
          <w:highlight w:val="none"/>
        </w:rPr>
      </w:pPr>
    </w:p>
    <w:p>
      <w:pPr>
        <w:spacing w:line="360" w:lineRule="auto"/>
        <w:ind w:firstLine="720" w:firstLineChars="300"/>
        <w:rPr>
          <w:rFonts w:ascii="宋体"/>
          <w:color w:val="auto"/>
          <w:kern w:val="0"/>
          <w:sz w:val="24"/>
          <w:szCs w:val="24"/>
          <w:highlight w:val="none"/>
        </w:rPr>
      </w:pPr>
      <w:r>
        <w:rPr>
          <w:rFonts w:hint="eastAsia" w:ascii="宋体" w:hAnsi="宋体" w:cs="宋体"/>
          <w:color w:val="auto"/>
          <w:kern w:val="0"/>
          <w:sz w:val="24"/>
          <w:szCs w:val="24"/>
          <w:highlight w:val="none"/>
          <w:lang w:eastAsia="zh-CN"/>
        </w:rPr>
        <w:t>响应供应商</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加盖公章</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p>
    <w:p>
      <w:pPr>
        <w:spacing w:line="360" w:lineRule="auto"/>
        <w:ind w:firstLine="720" w:firstLineChars="300"/>
        <w:rPr>
          <w:rFonts w:ascii="宋体"/>
          <w:color w:val="auto"/>
          <w:kern w:val="0"/>
          <w:sz w:val="24"/>
          <w:szCs w:val="24"/>
          <w:highlight w:val="none"/>
        </w:rPr>
      </w:pPr>
      <w:r>
        <w:rPr>
          <w:rFonts w:hint="eastAsia" w:ascii="宋体" w:hAnsi="宋体" w:cs="宋体"/>
          <w:color w:val="auto"/>
          <w:kern w:val="0"/>
          <w:sz w:val="24"/>
          <w:szCs w:val="24"/>
          <w:highlight w:val="none"/>
        </w:rPr>
        <w:t>法定代表人（签字或盖章）：</w:t>
      </w:r>
      <w:r>
        <w:rPr>
          <w:rFonts w:ascii="宋体" w:hAnsi="宋体" w:cs="宋体"/>
          <w:color w:val="auto"/>
          <w:kern w:val="0"/>
          <w:sz w:val="24"/>
          <w:szCs w:val="24"/>
          <w:highlight w:val="none"/>
          <w:u w:val="single"/>
        </w:rPr>
        <w:t xml:space="preserve">                         </w:t>
      </w:r>
    </w:p>
    <w:p>
      <w:pPr>
        <w:spacing w:line="360" w:lineRule="auto"/>
        <w:ind w:firstLine="720" w:firstLineChars="300"/>
        <w:rPr>
          <w:rFonts w:ascii="宋体"/>
          <w:color w:val="auto"/>
          <w:kern w:val="0"/>
          <w:sz w:val="24"/>
          <w:szCs w:val="24"/>
          <w:highlight w:val="none"/>
        </w:rPr>
      </w:pPr>
      <w:r>
        <w:rPr>
          <w:rFonts w:hint="eastAsia" w:ascii="宋体" w:hAnsi="宋体" w:cs="宋体"/>
          <w:color w:val="auto"/>
          <w:kern w:val="0"/>
          <w:sz w:val="24"/>
          <w:szCs w:val="24"/>
          <w:highlight w:val="none"/>
        </w:rPr>
        <w:t>性别：</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年龄：</w:t>
      </w:r>
      <w:r>
        <w:rPr>
          <w:rFonts w:ascii="宋体" w:hAnsi="宋体" w:cs="宋体"/>
          <w:color w:val="auto"/>
          <w:kern w:val="0"/>
          <w:sz w:val="24"/>
          <w:szCs w:val="24"/>
          <w:highlight w:val="none"/>
          <w:u w:val="single"/>
        </w:rPr>
        <w:t xml:space="preserve">        </w:t>
      </w:r>
    </w:p>
    <w:p>
      <w:pPr>
        <w:spacing w:line="360" w:lineRule="auto"/>
        <w:ind w:firstLine="720" w:firstLineChars="300"/>
        <w:rPr>
          <w:rFonts w:ascii="宋体"/>
          <w:color w:val="auto"/>
          <w:kern w:val="0"/>
          <w:sz w:val="24"/>
          <w:szCs w:val="24"/>
          <w:highlight w:val="none"/>
        </w:rPr>
      </w:pPr>
      <w:r>
        <w:rPr>
          <w:rFonts w:hint="eastAsia" w:ascii="宋体" w:hAnsi="宋体" w:cs="宋体"/>
          <w:color w:val="auto"/>
          <w:kern w:val="0"/>
          <w:sz w:val="24"/>
          <w:szCs w:val="24"/>
          <w:highlight w:val="none"/>
        </w:rPr>
        <w:t>身份证号码：</w:t>
      </w:r>
      <w:r>
        <w:rPr>
          <w:rFonts w:ascii="宋体" w:hAnsi="宋体" w:cs="宋体"/>
          <w:color w:val="auto"/>
          <w:kern w:val="0"/>
          <w:sz w:val="24"/>
          <w:szCs w:val="24"/>
          <w:highlight w:val="none"/>
          <w:u w:val="single"/>
        </w:rPr>
        <w:t xml:space="preserve">                  </w:t>
      </w:r>
    </w:p>
    <w:p>
      <w:pPr>
        <w:spacing w:line="360" w:lineRule="auto"/>
        <w:ind w:firstLine="720" w:firstLineChars="300"/>
        <w:rPr>
          <w:rFonts w:ascii="宋体"/>
          <w:color w:val="auto"/>
          <w:kern w:val="0"/>
          <w:sz w:val="24"/>
          <w:szCs w:val="24"/>
          <w:highlight w:val="none"/>
        </w:rPr>
      </w:pPr>
      <w:r>
        <w:rPr>
          <w:rFonts w:ascii="宋体" w:hAnsi="宋体" w:cs="宋体"/>
          <w:color w:val="auto"/>
          <w:kern w:val="0"/>
          <w:sz w:val="24"/>
          <w:szCs w:val="24"/>
          <w:highlight w:val="none"/>
        </w:rPr>
        <w:t xml:space="preserve">                  </w:t>
      </w:r>
    </w:p>
    <w:p>
      <w:pPr>
        <w:spacing w:line="360" w:lineRule="auto"/>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autoSpaceDE w:val="0"/>
        <w:autoSpaceDN w:val="0"/>
        <w:adjustRightInd w:val="0"/>
        <w:spacing w:line="360" w:lineRule="auto"/>
        <w:rPr>
          <w:rFonts w:ascii="宋体"/>
          <w:color w:val="auto"/>
          <w:kern w:val="0"/>
          <w:sz w:val="24"/>
          <w:szCs w:val="24"/>
          <w:highlight w:val="none"/>
        </w:rPr>
      </w:pPr>
    </w:p>
    <w:p>
      <w:pPr>
        <w:autoSpaceDE w:val="0"/>
        <w:autoSpaceDN w:val="0"/>
        <w:adjustRightInd w:val="0"/>
        <w:spacing w:line="360" w:lineRule="auto"/>
        <w:rPr>
          <w:rFonts w:ascii="宋体"/>
          <w:color w:val="auto"/>
          <w:kern w:val="0"/>
          <w:sz w:val="24"/>
          <w:szCs w:val="24"/>
          <w:highlight w:val="none"/>
        </w:rPr>
      </w:pPr>
    </w:p>
    <w:p>
      <w:pPr>
        <w:autoSpaceDE w:val="0"/>
        <w:autoSpaceDN w:val="0"/>
        <w:adjustRightInd w:val="0"/>
        <w:spacing w:line="360" w:lineRule="auto"/>
        <w:rPr>
          <w:rFonts w:ascii="宋体"/>
          <w:color w:val="auto"/>
          <w:kern w:val="0"/>
          <w:sz w:val="24"/>
          <w:szCs w:val="24"/>
          <w:highlight w:val="none"/>
        </w:rPr>
      </w:pPr>
    </w:p>
    <w:tbl>
      <w:tblPr>
        <w:tblStyle w:val="18"/>
        <w:tblW w:w="852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522" w:type="dxa"/>
          </w:tcPr>
          <w:p>
            <w:pPr>
              <w:spacing w:line="360" w:lineRule="auto"/>
              <w:rPr>
                <w:rFonts w:ascii="宋体"/>
                <w:color w:val="auto"/>
                <w:kern w:val="0"/>
                <w:sz w:val="24"/>
                <w:szCs w:val="24"/>
                <w:highlight w:val="none"/>
              </w:rPr>
            </w:pPr>
          </w:p>
          <w:p>
            <w:pPr>
              <w:spacing w:line="360" w:lineRule="auto"/>
              <w:rPr>
                <w:rFonts w:ascii="宋体"/>
                <w:color w:val="auto"/>
                <w:kern w:val="0"/>
                <w:sz w:val="24"/>
                <w:szCs w:val="24"/>
                <w:highlight w:val="none"/>
              </w:rPr>
            </w:pPr>
            <w:r>
              <w:rPr>
                <w:rFonts w:hint="eastAsia" w:ascii="宋体" w:hAnsi="宋体"/>
                <w:color w:val="auto"/>
                <w:sz w:val="24"/>
                <w:szCs w:val="24"/>
                <w:highlight w:val="none"/>
              </w:rPr>
              <w:t>粘贴</w:t>
            </w:r>
            <w:r>
              <w:rPr>
                <w:rFonts w:hint="eastAsia" w:ascii="宋体" w:hAnsi="宋体" w:cs="宋体"/>
                <w:color w:val="auto"/>
                <w:sz w:val="24"/>
                <w:szCs w:val="24"/>
                <w:highlight w:val="none"/>
              </w:rPr>
              <w:t>法定代表人</w:t>
            </w:r>
            <w:r>
              <w:rPr>
                <w:rFonts w:hint="eastAsia" w:ascii="宋体" w:hAnsi="宋体" w:cs="宋体"/>
                <w:color w:val="auto"/>
                <w:kern w:val="0"/>
                <w:sz w:val="24"/>
                <w:szCs w:val="24"/>
                <w:highlight w:val="none"/>
              </w:rPr>
              <w:t>身份证</w:t>
            </w:r>
            <w:r>
              <w:rPr>
                <w:rFonts w:hint="eastAsia" w:ascii="宋体" w:hAnsi="宋体"/>
                <w:color w:val="auto"/>
                <w:sz w:val="24"/>
                <w:szCs w:val="24"/>
                <w:highlight w:val="none"/>
              </w:rPr>
              <w:t>复印件（正面及反面）</w:t>
            </w:r>
          </w:p>
          <w:p>
            <w:pPr>
              <w:spacing w:line="360" w:lineRule="auto"/>
              <w:rPr>
                <w:rFonts w:ascii="宋体"/>
                <w:color w:val="auto"/>
                <w:kern w:val="0"/>
                <w:sz w:val="24"/>
                <w:szCs w:val="24"/>
                <w:highlight w:val="none"/>
              </w:rPr>
            </w:pPr>
          </w:p>
        </w:tc>
      </w:tr>
    </w:tbl>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bookmarkEnd w:id="417"/>
    <w:bookmarkEnd w:id="418"/>
    <w:bookmarkEnd w:id="419"/>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rPr>
      </w:pPr>
      <w:bookmarkStart w:id="420" w:name="_Toc13044"/>
      <w:bookmarkStart w:id="421" w:name="_Toc12236"/>
      <w:bookmarkStart w:id="422" w:name="_Toc30846"/>
      <w:bookmarkStart w:id="423" w:name="_Toc236473312"/>
      <w:bookmarkStart w:id="424" w:name="_Toc238276256"/>
      <w:r>
        <w:rPr>
          <w:rFonts w:hint="eastAsia" w:ascii="宋体" w:hAnsi="宋体" w:eastAsia="宋体" w:cs="宋体"/>
          <w:b/>
          <w:bCs/>
          <w:color w:val="auto"/>
          <w:sz w:val="24"/>
          <w:szCs w:val="24"/>
          <w:highlight w:val="none"/>
        </w:rPr>
        <w:t>法定代表人授权书</w:t>
      </w:r>
      <w:bookmarkEnd w:id="420"/>
      <w:bookmarkEnd w:id="421"/>
    </w:p>
    <w:p>
      <w:pPr>
        <w:adjustRightInd w:val="0"/>
        <w:snapToGrid w:val="0"/>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u w:val="single"/>
          <w:lang w:eastAsia="zh-CN"/>
        </w:rPr>
        <w:t>惠通建管科技有限公司</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兹授权同志为我公司参加贵单位组织的编号为</w:t>
      </w:r>
      <w:r>
        <w:rPr>
          <w:rFonts w:hint="eastAsia" w:ascii="宋体" w:hAnsi="宋体"/>
          <w:color w:val="auto"/>
          <w:sz w:val="24"/>
          <w:szCs w:val="24"/>
          <w:highlight w:val="none"/>
          <w:u w:val="single"/>
        </w:rPr>
        <w:t xml:space="preserve">（项目编号） </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 xml:space="preserve">采购活动的投标代表人，全权代表我公司处理在该项目采购活动中的一切事宜。代理期限从     年    月     日起至      年     月     日止。 </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被授权人无转委托权。</w:t>
      </w:r>
    </w:p>
    <w:p>
      <w:pPr>
        <w:spacing w:line="360" w:lineRule="auto"/>
        <w:ind w:firstLine="540" w:firstLineChars="225"/>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授权单位（加盖公章）：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s="宋体"/>
          <w:color w:val="auto"/>
          <w:kern w:val="0"/>
          <w:sz w:val="24"/>
          <w:szCs w:val="24"/>
          <w:highlight w:val="none"/>
        </w:rPr>
        <w:t>签字或盖章</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签发日期：   年    月    日</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w:t>
      </w:r>
      <w:r>
        <w:rPr>
          <w:rFonts w:hint="eastAsia" w:ascii="宋体" w:hAnsi="宋体" w:cs="宋体"/>
          <w:color w:val="auto"/>
          <w:kern w:val="0"/>
          <w:sz w:val="24"/>
          <w:szCs w:val="24"/>
          <w:highlight w:val="none"/>
        </w:rPr>
        <w:t>被授权人</w:t>
      </w:r>
      <w:r>
        <w:rPr>
          <w:rFonts w:hint="eastAsia" w:ascii="宋体" w:hAnsi="宋体"/>
          <w:color w:val="auto"/>
          <w:sz w:val="24"/>
          <w:szCs w:val="24"/>
          <w:highlight w:val="none"/>
        </w:rPr>
        <w:t>工作单位：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职务：      性别：</w:t>
      </w:r>
    </w:p>
    <w:p>
      <w:pPr>
        <w:adjustRightInd w:val="0"/>
        <w:snapToGrid w:val="0"/>
        <w:spacing w:line="360" w:lineRule="auto"/>
        <w:ind w:left="-88" w:leftChars="-42" w:firstLine="600" w:firstLineChars="250"/>
        <w:rPr>
          <w:rFonts w:ascii="宋体" w:hAnsi="宋体"/>
          <w:color w:val="auto"/>
          <w:sz w:val="24"/>
          <w:szCs w:val="24"/>
          <w:highlight w:val="none"/>
          <w:u w:val="single"/>
        </w:rPr>
      </w:pPr>
      <w:r>
        <w:rPr>
          <w:rFonts w:hint="eastAsia" w:ascii="宋体" w:hAnsi="宋体"/>
          <w:color w:val="auto"/>
          <w:sz w:val="24"/>
          <w:szCs w:val="24"/>
          <w:highlight w:val="none"/>
        </w:rPr>
        <w:t>身份证号码：</w:t>
      </w:r>
    </w:p>
    <w:p>
      <w:pPr>
        <w:adjustRightInd w:val="0"/>
        <w:snapToGrid w:val="0"/>
        <w:spacing w:line="360" w:lineRule="auto"/>
        <w:ind w:left="-88" w:leftChars="-42" w:firstLine="600" w:firstLineChars="250"/>
        <w:rPr>
          <w:rFonts w:ascii="宋体" w:hAnsi="宋体"/>
          <w:color w:val="auto"/>
          <w:sz w:val="24"/>
          <w:szCs w:val="24"/>
          <w:highlight w:val="none"/>
          <w:u w:val="single"/>
        </w:rPr>
      </w:pPr>
    </w:p>
    <w:tbl>
      <w:tblPr>
        <w:tblStyle w:val="18"/>
        <w:tblW w:w="83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1" w:type="dxa"/>
          </w:tcPr>
          <w:p>
            <w:pPr>
              <w:spacing w:line="300" w:lineRule="auto"/>
              <w:rPr>
                <w:rFonts w:ascii="宋体" w:hAnsi="宋体"/>
                <w:color w:val="auto"/>
                <w:sz w:val="24"/>
                <w:szCs w:val="24"/>
                <w:highlight w:val="none"/>
              </w:rPr>
            </w:pPr>
            <w:r>
              <w:rPr>
                <w:rFonts w:hint="eastAsia" w:ascii="宋体" w:hAnsi="宋体"/>
                <w:color w:val="auto"/>
                <w:sz w:val="24"/>
                <w:szCs w:val="24"/>
                <w:highlight w:val="none"/>
              </w:rPr>
              <w:t>粘贴法定代表人和被授权人身份证复印件（正面及反面）</w:t>
            </w:r>
          </w:p>
        </w:tc>
      </w:tr>
    </w:tbl>
    <w:p>
      <w:pPr>
        <w:autoSpaceDE w:val="0"/>
        <w:autoSpaceDN w:val="0"/>
        <w:spacing w:line="300" w:lineRule="auto"/>
        <w:ind w:left="480" w:hanging="480"/>
        <w:rPr>
          <w:rFonts w:ascii="宋体" w:hAnsi="宋体"/>
          <w:color w:val="auto"/>
          <w:sz w:val="24"/>
          <w:szCs w:val="24"/>
          <w:highlight w:val="none"/>
        </w:rPr>
      </w:pPr>
    </w:p>
    <w:p>
      <w:pPr>
        <w:spacing w:line="360" w:lineRule="exact"/>
        <w:ind w:firstLine="480"/>
        <w:rPr>
          <w:rFonts w:ascii="宋体" w:hAnsi="宋体"/>
          <w:bCs/>
          <w:color w:val="auto"/>
          <w:sz w:val="24"/>
          <w:szCs w:val="24"/>
          <w:highlight w:val="none"/>
        </w:rPr>
      </w:pPr>
      <w:r>
        <w:rPr>
          <w:rFonts w:hint="eastAsia" w:ascii="宋体" w:hAnsi="宋体"/>
          <w:bCs/>
          <w:color w:val="auto"/>
          <w:sz w:val="24"/>
          <w:szCs w:val="24"/>
          <w:highlight w:val="none"/>
        </w:rPr>
        <w:br w:type="page"/>
      </w:r>
    </w:p>
    <w:bookmarkEnd w:id="422"/>
    <w:bookmarkEnd w:id="423"/>
    <w:bookmarkEnd w:id="424"/>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lang w:eastAsia="zh-CN"/>
        </w:rPr>
      </w:pPr>
      <w:bookmarkStart w:id="425" w:name="_Toc17743"/>
      <w:bookmarkStart w:id="426" w:name="_Toc1701"/>
      <w:r>
        <w:rPr>
          <w:rFonts w:hint="eastAsia" w:ascii="宋体" w:hAnsi="宋体" w:eastAsia="宋体" w:cs="宋体"/>
          <w:b/>
          <w:bCs/>
          <w:color w:val="auto"/>
          <w:sz w:val="24"/>
          <w:szCs w:val="24"/>
          <w:highlight w:val="none"/>
          <w:lang w:eastAsia="zh-CN"/>
        </w:rPr>
        <w:t>响应供应商类似项目业绩表（如需）</w:t>
      </w:r>
      <w:bookmarkEnd w:id="425"/>
      <w:bookmarkEnd w:id="426"/>
    </w:p>
    <w:tbl>
      <w:tblPr>
        <w:tblStyle w:val="18"/>
        <w:tblpPr w:leftFromText="180" w:rightFromText="180" w:vertAnchor="text" w:horzAnchor="page" w:tblpX="1843" w:tblpY="359"/>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项目名称</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项目单位名称</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项目单位联系人姓名及联系方式</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合同金额</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项目负责人姓名</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项目实施时间</w:t>
            </w:r>
          </w:p>
        </w:tc>
        <w:tc>
          <w:tcPr>
            <w:tcW w:w="6625" w:type="dxa"/>
          </w:tcPr>
          <w:p>
            <w:pPr>
              <w:rPr>
                <w:rFonts w:ascii="宋体"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755" w:type="dxa"/>
            <w:vAlign w:val="center"/>
          </w:tcPr>
          <w:p>
            <w:pPr>
              <w:jc w:val="center"/>
              <w:rPr>
                <w:rFonts w:ascii="宋体" w:hAnsi="宋体" w:cs="Courier New"/>
                <w:color w:val="auto"/>
                <w:sz w:val="24"/>
                <w:szCs w:val="24"/>
                <w:highlight w:val="none"/>
              </w:rPr>
            </w:pPr>
            <w:r>
              <w:rPr>
                <w:rFonts w:hint="eastAsia" w:ascii="宋体" w:hAnsi="宋体" w:cs="Courier New"/>
                <w:color w:val="auto"/>
                <w:sz w:val="24"/>
                <w:szCs w:val="24"/>
                <w:highlight w:val="none"/>
              </w:rPr>
              <w:t>项目内容说明</w:t>
            </w:r>
          </w:p>
        </w:tc>
        <w:tc>
          <w:tcPr>
            <w:tcW w:w="6625" w:type="dxa"/>
          </w:tcPr>
          <w:p>
            <w:pPr>
              <w:rPr>
                <w:rFonts w:ascii="宋体" w:hAnsi="宋体" w:cs="Courier New"/>
                <w:color w:val="auto"/>
                <w:sz w:val="24"/>
                <w:szCs w:val="24"/>
                <w:highlight w:val="none"/>
              </w:rPr>
            </w:pPr>
          </w:p>
        </w:tc>
      </w:tr>
    </w:tbl>
    <w:p>
      <w:pPr>
        <w:spacing w:line="360" w:lineRule="auto"/>
        <w:rPr>
          <w:rFonts w:ascii="宋体" w:hAnsi="宋体"/>
          <w:color w:val="auto"/>
          <w:kern w:val="0"/>
          <w:sz w:val="24"/>
          <w:szCs w:val="24"/>
          <w:highlight w:val="none"/>
        </w:rPr>
      </w:pPr>
      <w:r>
        <w:rPr>
          <w:rFonts w:hint="eastAsia" w:ascii="宋体" w:hAnsi="宋体"/>
          <w:b/>
          <w:color w:val="auto"/>
          <w:sz w:val="24"/>
          <w:szCs w:val="24"/>
          <w:highlight w:val="none"/>
        </w:rPr>
        <w:t>项目编号：</w:t>
      </w:r>
    </w:p>
    <w:p>
      <w:pPr>
        <w:autoSpaceDE w:val="0"/>
        <w:autoSpaceDN w:val="0"/>
        <w:spacing w:line="360" w:lineRule="auto"/>
        <w:rPr>
          <w:rFonts w:ascii="宋体" w:hAnsi="宋体"/>
          <w:color w:val="auto"/>
          <w:sz w:val="24"/>
          <w:szCs w:val="24"/>
          <w:highlight w:val="none"/>
        </w:rPr>
      </w:pPr>
      <w:r>
        <w:rPr>
          <w:rFonts w:hint="eastAsia" w:ascii="宋体" w:hAnsi="宋体"/>
          <w:color w:val="auto"/>
          <w:sz w:val="24"/>
          <w:szCs w:val="24"/>
          <w:highlight w:val="none"/>
        </w:rPr>
        <w:t>说明：1．每个合同须单独附表，并附上相关证明材料，否则专家在评审时将不予承认；</w:t>
      </w:r>
    </w:p>
    <w:p>
      <w:pPr>
        <w:numPr>
          <w:ilvl w:val="0"/>
          <w:numId w:val="0"/>
        </w:num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项目内容请详细说明所承担的具体工作内容；</w:t>
      </w:r>
    </w:p>
    <w:p>
      <w:pPr>
        <w:spacing w:line="360" w:lineRule="auto"/>
        <w:ind w:firstLine="720" w:firstLineChars="300"/>
        <w:rPr>
          <w:rFonts w:ascii="宋体" w:hAnsi="宋体"/>
          <w:color w:val="auto"/>
          <w:sz w:val="24"/>
          <w:szCs w:val="24"/>
          <w:highlight w:val="none"/>
        </w:rPr>
      </w:pPr>
      <w:r>
        <w:rPr>
          <w:rFonts w:hint="eastAsia" w:ascii="宋体" w:hAnsi="宋体" w:cs="Corbel"/>
          <w:color w:val="auto"/>
          <w:sz w:val="24"/>
          <w:szCs w:val="24"/>
          <w:highlight w:val="none"/>
        </w:rPr>
        <w:t>3.此表可自拟。</w:t>
      </w:r>
    </w:p>
    <w:p>
      <w:pPr>
        <w:spacing w:line="360" w:lineRule="auto"/>
        <w:ind w:firstLine="720" w:firstLineChars="300"/>
        <w:rPr>
          <w:rFonts w:ascii="宋体" w:hAnsi="宋体"/>
          <w:color w:val="auto"/>
          <w:sz w:val="24"/>
          <w:szCs w:val="24"/>
          <w:highlight w:val="none"/>
        </w:rPr>
      </w:pPr>
    </w:p>
    <w:p>
      <w:pPr>
        <w:spacing w:line="360" w:lineRule="auto"/>
        <w:ind w:firstLine="720" w:firstLineChars="300"/>
        <w:rPr>
          <w:rFonts w:ascii="宋体" w:hAnsi="宋体"/>
          <w:color w:val="auto"/>
          <w:sz w:val="24"/>
          <w:szCs w:val="24"/>
          <w:highlight w:val="none"/>
        </w:rPr>
      </w:pPr>
    </w:p>
    <w:p>
      <w:pPr>
        <w:spacing w:line="360" w:lineRule="auto"/>
        <w:ind w:firstLine="3600" w:firstLineChars="1500"/>
        <w:rPr>
          <w:rFonts w:ascii="宋体" w:hAnsi="宋体" w:cs="Courier New"/>
          <w:color w:val="auto"/>
          <w:sz w:val="24"/>
          <w:szCs w:val="24"/>
          <w:highlight w:val="none"/>
        </w:rPr>
      </w:pPr>
      <w:r>
        <w:rPr>
          <w:rFonts w:hint="eastAsia" w:ascii="宋体" w:hAnsi="宋体" w:cs="宋体"/>
          <w:color w:val="auto"/>
          <w:sz w:val="24"/>
          <w:szCs w:val="24"/>
          <w:highlight w:val="none"/>
        </w:rPr>
        <w:t>法定代表人或</w:t>
      </w:r>
      <w:r>
        <w:rPr>
          <w:rFonts w:hint="eastAsia" w:ascii="宋体" w:hAnsi="宋体" w:cs="Courier New"/>
          <w:color w:val="auto"/>
          <w:sz w:val="24"/>
          <w:szCs w:val="24"/>
          <w:highlight w:val="none"/>
          <w:lang w:eastAsia="zh-CN"/>
        </w:rPr>
        <w:t>响应供应商</w:t>
      </w:r>
      <w:r>
        <w:rPr>
          <w:rFonts w:hint="eastAsia" w:ascii="宋体" w:hAnsi="宋体" w:cs="Courier New"/>
          <w:color w:val="auto"/>
          <w:sz w:val="24"/>
          <w:szCs w:val="24"/>
          <w:highlight w:val="none"/>
        </w:rPr>
        <w:t>授权代表（签字）：</w:t>
      </w:r>
    </w:p>
    <w:p>
      <w:pPr>
        <w:spacing w:line="360" w:lineRule="auto"/>
        <w:ind w:firstLine="5520" w:firstLineChars="2300"/>
        <w:rPr>
          <w:rFonts w:ascii="宋体" w:hAnsi="宋体" w:cs="Courier New"/>
          <w:color w:val="auto"/>
          <w:sz w:val="24"/>
          <w:szCs w:val="24"/>
          <w:highlight w:val="none"/>
        </w:rPr>
      </w:pPr>
      <w:r>
        <w:rPr>
          <w:rFonts w:hint="eastAsia" w:ascii="宋体" w:hAnsi="宋体" w:cs="Courier New"/>
          <w:color w:val="auto"/>
          <w:sz w:val="24"/>
          <w:szCs w:val="24"/>
          <w:highlight w:val="none"/>
          <w:lang w:eastAsia="zh-CN"/>
        </w:rPr>
        <w:t>响应供应商</w:t>
      </w:r>
      <w:r>
        <w:rPr>
          <w:rFonts w:hint="eastAsia" w:ascii="宋体" w:hAnsi="宋体" w:cs="Courier New"/>
          <w:color w:val="auto"/>
          <w:sz w:val="24"/>
          <w:szCs w:val="24"/>
          <w:highlight w:val="none"/>
        </w:rPr>
        <w:t>（加盖公章）：</w:t>
      </w:r>
    </w:p>
    <w:p>
      <w:pPr>
        <w:spacing w:line="360" w:lineRule="auto"/>
        <w:ind w:firstLine="5520" w:firstLineChars="2300"/>
        <w:rPr>
          <w:rFonts w:ascii="宋体" w:hAnsi="宋体" w:cs="Courier New"/>
          <w:color w:val="auto"/>
          <w:sz w:val="24"/>
          <w:szCs w:val="24"/>
          <w:highlight w:val="none"/>
        </w:rPr>
      </w:pPr>
      <w:r>
        <w:rPr>
          <w:rFonts w:hint="eastAsia" w:ascii="宋体" w:hAnsi="宋体" w:cs="Courier New"/>
          <w:color w:val="auto"/>
          <w:sz w:val="24"/>
          <w:szCs w:val="24"/>
          <w:highlight w:val="none"/>
          <w:lang w:eastAsia="zh-CN"/>
        </w:rPr>
        <w:t>日期</w:t>
      </w:r>
      <w:r>
        <w:rPr>
          <w:rFonts w:hint="eastAsia" w:ascii="宋体" w:hAnsi="宋体" w:cs="Courier New"/>
          <w:color w:val="auto"/>
          <w:sz w:val="24"/>
          <w:szCs w:val="24"/>
          <w:highlight w:val="none"/>
        </w:rPr>
        <w:t>：</w:t>
      </w:r>
    </w:p>
    <w:p>
      <w:pPr>
        <w:spacing w:line="360" w:lineRule="auto"/>
        <w:ind w:firstLine="5542" w:firstLineChars="2300"/>
        <w:rPr>
          <w:rFonts w:ascii="宋体" w:hAnsi="宋体" w:cs="Courier New"/>
          <w:color w:val="auto"/>
          <w:sz w:val="24"/>
          <w:szCs w:val="24"/>
          <w:highlight w:val="none"/>
        </w:rPr>
      </w:pPr>
      <w:r>
        <w:rPr>
          <w:rFonts w:hint="eastAsia" w:ascii="宋体" w:hAnsi="宋体"/>
          <w:b/>
          <w:bCs/>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lang w:eastAsia="zh-CN"/>
        </w:rPr>
      </w:pPr>
      <w:bookmarkStart w:id="427" w:name="_Toc11559"/>
      <w:bookmarkStart w:id="428" w:name="_Toc12778"/>
      <w:r>
        <w:rPr>
          <w:rFonts w:hint="eastAsia" w:ascii="宋体" w:hAnsi="宋体" w:eastAsia="宋体" w:cs="宋体"/>
          <w:b/>
          <w:bCs/>
          <w:color w:val="auto"/>
          <w:sz w:val="24"/>
          <w:szCs w:val="24"/>
          <w:highlight w:val="none"/>
          <w:lang w:eastAsia="zh-CN"/>
        </w:rPr>
        <w:t>无重大违法记录声明</w:t>
      </w:r>
      <w:bookmarkEnd w:id="427"/>
      <w:bookmarkEnd w:id="428"/>
    </w:p>
    <w:p>
      <w:pPr>
        <w:autoSpaceDE w:val="0"/>
        <w:autoSpaceDN w:val="0"/>
        <w:adjustRightInd w:val="0"/>
        <w:spacing w:line="360" w:lineRule="auto"/>
        <w:jc w:val="center"/>
        <w:outlineLvl w:val="9"/>
        <w:rPr>
          <w:rFonts w:hint="eastAsia" w:ascii="宋体" w:hAnsi="宋体" w:cs="宋体"/>
          <w:b/>
          <w:bCs/>
          <w:color w:val="auto"/>
          <w:sz w:val="24"/>
          <w:szCs w:val="24"/>
          <w:highlight w:val="none"/>
        </w:rPr>
      </w:pPr>
    </w:p>
    <w:p>
      <w:pPr>
        <w:autoSpaceDE w:val="0"/>
        <w:autoSpaceDN w:val="0"/>
        <w:adjustRightInd w:val="0"/>
        <w:spacing w:line="360" w:lineRule="auto"/>
        <w:jc w:val="center"/>
        <w:outlineLvl w:val="1"/>
        <w:rPr>
          <w:rFonts w:ascii="宋体" w:cs="Times New Roman"/>
          <w:b w:val="0"/>
          <w:bCs w:val="0"/>
          <w:color w:val="auto"/>
          <w:sz w:val="24"/>
          <w:szCs w:val="24"/>
          <w:highlight w:val="none"/>
        </w:rPr>
      </w:pPr>
      <w:r>
        <w:rPr>
          <w:rFonts w:hint="eastAsia" w:ascii="宋体" w:hAnsi="宋体" w:cs="宋体"/>
          <w:b w:val="0"/>
          <w:bCs w:val="0"/>
          <w:color w:val="auto"/>
          <w:sz w:val="24"/>
          <w:szCs w:val="24"/>
          <w:highlight w:val="none"/>
        </w:rPr>
        <w:t>无重大违法记录声明</w:t>
      </w:r>
    </w:p>
    <w:p>
      <w:pPr>
        <w:spacing w:line="480" w:lineRule="auto"/>
        <w:rPr>
          <w:rFonts w:ascii="宋体" w:cs="Times New Roman"/>
          <w:color w:val="auto"/>
          <w:kern w:val="0"/>
          <w:sz w:val="24"/>
          <w:szCs w:val="24"/>
          <w:highlight w:val="none"/>
        </w:rPr>
      </w:pPr>
    </w:p>
    <w:p>
      <w:pPr>
        <w:spacing w:line="480" w:lineRule="auto"/>
        <w:rPr>
          <w:rFonts w:ascii="宋体" w:cs="Times New Roman"/>
          <w:color w:val="auto"/>
          <w:sz w:val="24"/>
          <w:szCs w:val="24"/>
          <w:highlight w:val="none"/>
        </w:rPr>
      </w:pPr>
      <w:r>
        <w:rPr>
          <w:rFonts w:hint="eastAsia" w:ascii="宋体" w:hAnsi="宋体" w:cs="宋体"/>
          <w:color w:val="auto"/>
          <w:kern w:val="0"/>
          <w:sz w:val="24"/>
          <w:szCs w:val="24"/>
          <w:highlight w:val="none"/>
          <w:u w:val="single"/>
        </w:rPr>
        <w:t>采购人和采购代理机构</w:t>
      </w:r>
      <w:r>
        <w:rPr>
          <w:rFonts w:hint="eastAsia" w:ascii="宋体" w:hAnsi="宋体" w:cs="宋体"/>
          <w:color w:val="auto"/>
          <w:kern w:val="0"/>
          <w:sz w:val="24"/>
          <w:szCs w:val="24"/>
          <w:highlight w:val="none"/>
        </w:rPr>
        <w:t>：</w:t>
      </w:r>
    </w:p>
    <w:p>
      <w:pPr>
        <w:spacing w:line="480" w:lineRule="auto"/>
        <w:ind w:firstLine="480" w:firstLineChars="200"/>
        <w:rPr>
          <w:rFonts w:ascii="宋体" w:cs="Times New Roman"/>
          <w:color w:val="auto"/>
          <w:sz w:val="24"/>
          <w:szCs w:val="24"/>
          <w:highlight w:val="none"/>
        </w:rPr>
      </w:pPr>
      <w:r>
        <w:rPr>
          <w:rFonts w:hint="eastAsia" w:ascii="宋体" w:hAnsi="宋体" w:cs="宋体"/>
          <w:color w:val="auto"/>
          <w:kern w:val="0"/>
          <w:sz w:val="24"/>
          <w:szCs w:val="24"/>
          <w:highlight w:val="none"/>
        </w:rPr>
        <w:t>我方在此声明，我方在参加本</w:t>
      </w:r>
      <w:r>
        <w:rPr>
          <w:rFonts w:hint="eastAsia" w:ascii="宋体" w:hAnsi="宋体" w:cs="宋体"/>
          <w:color w:val="auto"/>
          <w:kern w:val="0"/>
          <w:sz w:val="24"/>
          <w:szCs w:val="24"/>
          <w:highlight w:val="none"/>
          <w:shd w:val="clear" w:color="auto" w:fill="FFFFFF"/>
        </w:rPr>
        <w:t>次政府采购活动前三年内，在经营活动中没有以下重大违法记录：</w:t>
      </w:r>
    </w:p>
    <w:p>
      <w:pPr>
        <w:spacing w:line="480" w:lineRule="auto"/>
        <w:outlineLvl w:val="1"/>
        <w:rPr>
          <w:rFonts w:ascii="宋体" w:cs="Times New Roman"/>
          <w:color w:val="auto"/>
          <w:sz w:val="24"/>
          <w:szCs w:val="24"/>
          <w:highlight w:val="none"/>
        </w:rPr>
      </w:pPr>
      <w:r>
        <w:rPr>
          <w:rFonts w:ascii="宋体" w:hAnsi="宋体" w:cs="宋体"/>
          <w:color w:val="auto"/>
          <w:kern w:val="0"/>
          <w:sz w:val="24"/>
          <w:szCs w:val="24"/>
          <w:highlight w:val="none"/>
          <w:shd w:val="clear" w:color="auto" w:fill="FFFFFF"/>
        </w:rPr>
        <w:t>1.</w:t>
      </w:r>
      <w:r>
        <w:rPr>
          <w:rFonts w:hint="eastAsia" w:ascii="宋体" w:hAnsi="宋体" w:cs="宋体"/>
          <w:color w:val="auto"/>
          <w:kern w:val="0"/>
          <w:sz w:val="24"/>
          <w:szCs w:val="24"/>
          <w:highlight w:val="none"/>
          <w:shd w:val="clear" w:color="auto" w:fill="FFFFFF"/>
        </w:rPr>
        <w:t>我方因违法经营被追究过刑事责任；</w:t>
      </w:r>
    </w:p>
    <w:p>
      <w:pPr>
        <w:spacing w:line="480" w:lineRule="auto"/>
        <w:outlineLvl w:val="1"/>
        <w:rPr>
          <w:rFonts w:ascii="宋体" w:cs="Times New Roman"/>
          <w:color w:val="auto"/>
          <w:sz w:val="24"/>
          <w:szCs w:val="24"/>
          <w:highlight w:val="none"/>
        </w:rPr>
      </w:pPr>
      <w:r>
        <w:rPr>
          <w:rFonts w:ascii="宋体" w:hAnsi="宋体" w:cs="宋体"/>
          <w:color w:val="auto"/>
          <w:kern w:val="0"/>
          <w:sz w:val="24"/>
          <w:szCs w:val="24"/>
          <w:highlight w:val="none"/>
          <w:shd w:val="clear" w:color="auto" w:fill="FFFFFF"/>
        </w:rPr>
        <w:t>2.</w:t>
      </w:r>
      <w:r>
        <w:rPr>
          <w:rFonts w:hint="eastAsia" w:ascii="宋体" w:hAnsi="宋体" w:cs="宋体"/>
          <w:color w:val="auto"/>
          <w:kern w:val="0"/>
          <w:sz w:val="24"/>
          <w:szCs w:val="24"/>
          <w:highlight w:val="none"/>
          <w:shd w:val="clear" w:color="auto" w:fill="FFFFFF"/>
        </w:rPr>
        <w:t>我方因违法经营被责令停产停业、吊销许可证或者执照；</w:t>
      </w:r>
    </w:p>
    <w:p>
      <w:pPr>
        <w:spacing w:line="480" w:lineRule="auto"/>
        <w:outlineLvl w:val="1"/>
        <w:rPr>
          <w:rFonts w:ascii="宋体" w:cs="Times New Roman"/>
          <w:color w:val="auto"/>
          <w:sz w:val="24"/>
          <w:szCs w:val="24"/>
          <w:highlight w:val="none"/>
        </w:rPr>
      </w:pPr>
      <w:r>
        <w:rPr>
          <w:rFonts w:ascii="宋体" w:hAnsi="宋体" w:cs="宋体"/>
          <w:color w:val="auto"/>
          <w:kern w:val="0"/>
          <w:sz w:val="24"/>
          <w:szCs w:val="24"/>
          <w:highlight w:val="none"/>
          <w:shd w:val="clear" w:color="auto" w:fill="FFFFFF"/>
        </w:rPr>
        <w:t>3.</w:t>
      </w:r>
      <w:r>
        <w:rPr>
          <w:rFonts w:hint="eastAsia" w:ascii="宋体" w:hAnsi="宋体" w:cs="宋体"/>
          <w:color w:val="auto"/>
          <w:kern w:val="0"/>
          <w:sz w:val="24"/>
          <w:szCs w:val="24"/>
          <w:highlight w:val="none"/>
          <w:shd w:val="clear" w:color="auto" w:fill="FFFFFF"/>
        </w:rPr>
        <w:t>我方因违法经营被处以较大数额罚款等行政处罚。</w:t>
      </w:r>
    </w:p>
    <w:p>
      <w:pPr>
        <w:spacing w:line="480" w:lineRule="auto"/>
        <w:ind w:firstLine="480" w:firstLineChars="200"/>
        <w:rPr>
          <w:rFonts w:ascii="宋体" w:cs="Times New Roman"/>
          <w:color w:val="auto"/>
          <w:sz w:val="24"/>
          <w:szCs w:val="24"/>
          <w:highlight w:val="none"/>
        </w:rPr>
      </w:pPr>
      <w:r>
        <w:rPr>
          <w:rFonts w:hint="eastAsia" w:ascii="宋体" w:hAnsi="宋体" w:cs="宋体"/>
          <w:color w:val="auto"/>
          <w:kern w:val="0"/>
          <w:sz w:val="24"/>
          <w:szCs w:val="24"/>
          <w:highlight w:val="none"/>
          <w:shd w:val="clear" w:color="auto" w:fill="FFFFFF"/>
        </w:rPr>
        <w:t>我方保证上述信息的完整、客观、真实、准确，并愿意承担我方因提供虚假材料谋骗取中标、成交所引起的一切法律后果。</w:t>
      </w:r>
    </w:p>
    <w:p>
      <w:pPr>
        <w:spacing w:line="480" w:lineRule="auto"/>
        <w:ind w:firstLine="480" w:firstLineChars="200"/>
        <w:rPr>
          <w:rFonts w:ascii="宋体" w:cs="Times New Roman"/>
          <w:color w:val="auto"/>
          <w:sz w:val="24"/>
          <w:szCs w:val="24"/>
          <w:highlight w:val="none"/>
        </w:rPr>
      </w:pPr>
      <w:r>
        <w:rPr>
          <w:rFonts w:hint="eastAsia" w:ascii="宋体" w:hAnsi="宋体" w:cs="宋体"/>
          <w:color w:val="auto"/>
          <w:kern w:val="0"/>
          <w:sz w:val="24"/>
          <w:szCs w:val="24"/>
          <w:highlight w:val="none"/>
          <w:shd w:val="clear" w:color="auto" w:fill="FFFFFF"/>
        </w:rPr>
        <w:t>特此声明！</w:t>
      </w:r>
    </w:p>
    <w:p>
      <w:pPr>
        <w:spacing w:line="480" w:lineRule="auto"/>
        <w:rPr>
          <w:rFonts w:ascii="宋体" w:cs="Times New Roman"/>
          <w:color w:val="auto"/>
          <w:sz w:val="24"/>
          <w:szCs w:val="24"/>
          <w:highlight w:val="none"/>
        </w:rPr>
      </w:pPr>
      <w:r>
        <w:rPr>
          <w:rFonts w:ascii="宋体" w:cs="Times New Roman"/>
          <w:color w:val="auto"/>
          <w:kern w:val="0"/>
          <w:sz w:val="24"/>
          <w:szCs w:val="24"/>
          <w:highlight w:val="none"/>
          <w:shd w:val="clear" w:color="auto" w:fill="FFFFFF"/>
        </w:rPr>
        <w:t> </w:t>
      </w:r>
    </w:p>
    <w:p>
      <w:pPr>
        <w:spacing w:line="480" w:lineRule="auto"/>
        <w:rPr>
          <w:rFonts w:ascii="宋体" w:cs="Times New Roman"/>
          <w:color w:val="auto"/>
          <w:sz w:val="24"/>
          <w:szCs w:val="24"/>
          <w:highlight w:val="none"/>
        </w:rPr>
      </w:pPr>
    </w:p>
    <w:p>
      <w:pPr>
        <w:spacing w:line="480" w:lineRule="auto"/>
        <w:rPr>
          <w:rFonts w:ascii="宋体" w:cs="Times New Roman"/>
          <w:color w:val="auto"/>
          <w:sz w:val="24"/>
          <w:szCs w:val="24"/>
          <w:highlight w:val="none"/>
        </w:rPr>
      </w:pPr>
      <w:r>
        <w:rPr>
          <w:rFonts w:ascii="宋体" w:cs="Times New Roman"/>
          <w:color w:val="auto"/>
          <w:kern w:val="0"/>
          <w:sz w:val="24"/>
          <w:szCs w:val="24"/>
          <w:highlight w:val="none"/>
          <w:shd w:val="clear" w:color="auto" w:fill="FFFFFF"/>
        </w:rPr>
        <w:t> </w:t>
      </w:r>
    </w:p>
    <w:p>
      <w:pPr>
        <w:spacing w:line="480" w:lineRule="auto"/>
        <w:jc w:val="right"/>
        <w:rPr>
          <w:rFonts w:ascii="宋体" w:cs="Times New Roman"/>
          <w:color w:val="auto"/>
          <w:sz w:val="24"/>
          <w:szCs w:val="24"/>
          <w:highlight w:val="none"/>
        </w:rPr>
      </w:pPr>
      <w:r>
        <w:rPr>
          <w:rFonts w:hint="eastAsia" w:ascii="宋体" w:hAnsi="宋体" w:cs="宋体"/>
          <w:color w:val="auto"/>
          <w:kern w:val="0"/>
          <w:sz w:val="24"/>
          <w:szCs w:val="24"/>
          <w:highlight w:val="none"/>
          <w:shd w:val="clear" w:color="auto" w:fill="FFFFFF"/>
          <w:lang w:eastAsia="zh-CN"/>
        </w:rPr>
        <w:t>响应供应商</w:t>
      </w:r>
      <w:r>
        <w:rPr>
          <w:rFonts w:hint="eastAsia" w:ascii="宋体" w:hAnsi="宋体" w:cs="宋体"/>
          <w:color w:val="auto"/>
          <w:kern w:val="0"/>
          <w:sz w:val="24"/>
          <w:szCs w:val="24"/>
          <w:highlight w:val="none"/>
          <w:shd w:val="clear" w:color="auto" w:fill="FFFFFF"/>
        </w:rPr>
        <w:t>：</w:t>
      </w:r>
      <w:r>
        <w:rPr>
          <w:rFonts w:ascii="宋体" w:cs="Times New Roman"/>
          <w:color w:val="auto"/>
          <w:kern w:val="0"/>
          <w:sz w:val="24"/>
          <w:szCs w:val="24"/>
          <w:highlight w:val="none"/>
          <w:u w:val="single"/>
          <w:shd w:val="clear" w:color="auto" w:fill="FFFFFF"/>
        </w:rPr>
        <w:t>                    </w:t>
      </w:r>
      <w:r>
        <w:rPr>
          <w:rFonts w:hint="eastAsia" w:ascii="宋体" w:hAnsi="宋体" w:cs="宋体"/>
          <w:color w:val="auto"/>
          <w:kern w:val="0"/>
          <w:sz w:val="24"/>
          <w:szCs w:val="24"/>
          <w:highlight w:val="none"/>
          <w:shd w:val="clear" w:color="auto" w:fill="FFFFFF"/>
        </w:rPr>
        <w:t>（盖单位章）</w:t>
      </w:r>
    </w:p>
    <w:p>
      <w:pPr>
        <w:spacing w:line="480" w:lineRule="auto"/>
        <w:jc w:val="right"/>
        <w:rPr>
          <w:rFonts w:ascii="宋体" w:cs="Times New Roman"/>
          <w:color w:val="auto"/>
          <w:sz w:val="24"/>
          <w:szCs w:val="24"/>
          <w:highlight w:val="none"/>
        </w:rPr>
      </w:pPr>
      <w:r>
        <w:rPr>
          <w:rFonts w:hint="eastAsia" w:ascii="宋体" w:hAnsi="宋体" w:cs="宋体"/>
          <w:color w:val="auto"/>
          <w:kern w:val="0"/>
          <w:sz w:val="24"/>
          <w:szCs w:val="24"/>
          <w:highlight w:val="none"/>
          <w:shd w:val="clear" w:color="auto" w:fill="FFFFFF"/>
        </w:rPr>
        <w:t>法定代表人或其委托代理人：</w:t>
      </w:r>
      <w:r>
        <w:rPr>
          <w:rFonts w:ascii="宋体" w:cs="Times New Roman"/>
          <w:color w:val="auto"/>
          <w:kern w:val="0"/>
          <w:sz w:val="24"/>
          <w:szCs w:val="24"/>
          <w:highlight w:val="none"/>
          <w:u w:val="single"/>
          <w:shd w:val="clear" w:color="auto" w:fill="FFFFFF"/>
        </w:rPr>
        <w:t>             </w:t>
      </w:r>
      <w:r>
        <w:rPr>
          <w:rFonts w:hint="eastAsia" w:ascii="宋体" w:hAnsi="宋体" w:cs="宋体"/>
          <w:color w:val="auto"/>
          <w:kern w:val="0"/>
          <w:sz w:val="24"/>
          <w:szCs w:val="24"/>
          <w:highlight w:val="none"/>
          <w:shd w:val="clear" w:color="auto" w:fill="FFFFFF"/>
        </w:rPr>
        <w:t>（签字）</w:t>
      </w:r>
    </w:p>
    <w:p>
      <w:pPr>
        <w:spacing w:line="480" w:lineRule="auto"/>
        <w:jc w:val="right"/>
        <w:rPr>
          <w:rFonts w:ascii="宋体" w:cs="Times New Roman"/>
          <w:color w:val="auto"/>
          <w:sz w:val="24"/>
          <w:szCs w:val="24"/>
          <w:highlight w:val="none"/>
        </w:rPr>
      </w:pPr>
      <w:r>
        <w:rPr>
          <w:rFonts w:ascii="宋体" w:cs="Times New Roman"/>
          <w:color w:val="auto"/>
          <w:kern w:val="0"/>
          <w:sz w:val="24"/>
          <w:szCs w:val="24"/>
          <w:highlight w:val="none"/>
          <w:u w:val="single"/>
          <w:shd w:val="clear" w:color="auto" w:fill="FFFFFF"/>
        </w:rPr>
        <w:t>         </w:t>
      </w:r>
      <w:r>
        <w:rPr>
          <w:rFonts w:hint="eastAsia" w:ascii="宋体" w:hAnsi="宋体" w:cs="宋体"/>
          <w:color w:val="auto"/>
          <w:kern w:val="0"/>
          <w:sz w:val="24"/>
          <w:szCs w:val="24"/>
          <w:highlight w:val="none"/>
          <w:shd w:val="clear" w:color="auto" w:fill="FFFFFF"/>
        </w:rPr>
        <w:t>年</w:t>
      </w:r>
      <w:r>
        <w:rPr>
          <w:rFonts w:ascii="宋体" w:cs="Times New Roman"/>
          <w:color w:val="auto"/>
          <w:kern w:val="0"/>
          <w:sz w:val="24"/>
          <w:szCs w:val="24"/>
          <w:highlight w:val="none"/>
          <w:u w:val="single"/>
          <w:shd w:val="clear" w:color="auto" w:fill="FFFFFF"/>
        </w:rPr>
        <w:t>        </w:t>
      </w:r>
      <w:r>
        <w:rPr>
          <w:rFonts w:hint="eastAsia" w:ascii="宋体" w:hAnsi="宋体" w:cs="宋体"/>
          <w:color w:val="auto"/>
          <w:kern w:val="0"/>
          <w:sz w:val="24"/>
          <w:szCs w:val="24"/>
          <w:highlight w:val="none"/>
          <w:shd w:val="clear" w:color="auto" w:fill="FFFFFF"/>
        </w:rPr>
        <w:t>月</w:t>
      </w:r>
      <w:r>
        <w:rPr>
          <w:rFonts w:ascii="宋体" w:cs="Times New Roman"/>
          <w:color w:val="auto"/>
          <w:kern w:val="0"/>
          <w:sz w:val="24"/>
          <w:szCs w:val="24"/>
          <w:highlight w:val="none"/>
          <w:u w:val="single"/>
          <w:shd w:val="clear" w:color="auto" w:fill="FFFFFF"/>
        </w:rPr>
        <w:t>        </w:t>
      </w:r>
      <w:r>
        <w:rPr>
          <w:rFonts w:hint="eastAsia" w:ascii="宋体" w:hAnsi="宋体" w:cs="宋体"/>
          <w:color w:val="auto"/>
          <w:kern w:val="0"/>
          <w:sz w:val="24"/>
          <w:szCs w:val="24"/>
          <w:highlight w:val="none"/>
          <w:shd w:val="clear" w:color="auto" w:fill="FFFFFF"/>
        </w:rPr>
        <w:t>日</w:t>
      </w:r>
    </w:p>
    <w:p>
      <w:pPr>
        <w:pStyle w:val="24"/>
        <w:rPr>
          <w:rFonts w:hint="eastAsia" w:ascii="宋体" w:hAnsi="宋体" w:cs="Corbel"/>
          <w:b/>
          <w:bCs/>
          <w:color w:val="auto"/>
          <w:sz w:val="24"/>
          <w:szCs w:val="24"/>
          <w:highlight w:val="none"/>
          <w:lang w:eastAsia="zh-CN"/>
        </w:rPr>
      </w:pPr>
    </w:p>
    <w:p>
      <w:pPr>
        <w:rPr>
          <w:rFonts w:hint="eastAsia" w:ascii="宋体" w:hAnsi="宋体" w:cs="Corbel"/>
          <w:b/>
          <w:bCs/>
          <w:color w:val="auto"/>
          <w:sz w:val="24"/>
          <w:szCs w:val="24"/>
          <w:highlight w:val="none"/>
        </w:rPr>
      </w:pPr>
      <w:r>
        <w:rPr>
          <w:rFonts w:hint="eastAsia" w:ascii="宋体" w:hAnsi="宋体" w:cs="Corbel"/>
          <w:b/>
          <w:bCs/>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lang w:eastAsia="zh-CN"/>
        </w:rPr>
      </w:pPr>
      <w:bookmarkStart w:id="429" w:name="_Toc10014"/>
      <w:r>
        <w:rPr>
          <w:rFonts w:hint="eastAsia" w:ascii="宋体" w:hAnsi="宋体" w:eastAsia="宋体" w:cs="宋体"/>
          <w:b/>
          <w:bCs/>
          <w:color w:val="auto"/>
          <w:sz w:val="24"/>
          <w:szCs w:val="24"/>
          <w:highlight w:val="none"/>
          <w:lang w:eastAsia="zh-CN"/>
        </w:rPr>
        <w:t>中小企业声明函</w:t>
      </w:r>
      <w:bookmarkEnd w:id="429"/>
    </w:p>
    <w:p>
      <w:pPr>
        <w:spacing w:line="380" w:lineRule="exact"/>
        <w:jc w:val="center"/>
        <w:rPr>
          <w:rFonts w:hint="eastAsia" w:ascii="宋体" w:hAnsi="宋体"/>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中小企业声明函（服务）</w:t>
      </w:r>
    </w:p>
    <w:p>
      <w:pPr>
        <w:pStyle w:val="2"/>
        <w:rPr>
          <w:rFonts w:hint="eastAsia"/>
          <w:color w:val="auto"/>
          <w:highlight w:val="none"/>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本公司（联合体）郑重声明，根据《政府采购促进中小企业发展管理办法》（财库﹝2020﹞ 46 号）的规定，本公司（联合体）参加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 xml:space="preserve">采购活动， 服务全部由符合政策要求的中小企业承接。相关企业（含联合体中的中小企业、签订分包意向协 议的中小企业）的具体情况如下：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；承接企业为</w:t>
      </w:r>
      <w:r>
        <w:rPr>
          <w:rFonts w:hint="eastAsia" w:ascii="宋体" w:hAnsi="宋体" w:eastAsia="宋体" w:cs="宋体"/>
          <w:color w:val="auto"/>
          <w:kern w:val="0"/>
          <w:sz w:val="24"/>
          <w:szCs w:val="24"/>
          <w:highlight w:val="none"/>
          <w:u w:val="single"/>
        </w:rPr>
        <w:t xml:space="preserve">（企业名称） </w:t>
      </w:r>
      <w:r>
        <w:rPr>
          <w:rFonts w:hint="eastAsia" w:ascii="宋体" w:hAnsi="宋体" w:eastAsia="宋体" w:cs="宋体"/>
          <w:color w:val="auto"/>
          <w:kern w:val="0"/>
          <w:sz w:val="24"/>
          <w:szCs w:val="24"/>
          <w:highlight w:val="none"/>
        </w:rPr>
        <w:t>，从业人员</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 </w:t>
      </w:r>
      <w:r>
        <w:rPr>
          <w:rFonts w:hint="eastAsia" w:ascii="宋体" w:hAnsi="宋体" w:eastAsia="宋体" w:cs="宋体"/>
          <w:color w:val="auto"/>
          <w:kern w:val="0"/>
          <w:sz w:val="24"/>
          <w:szCs w:val="24"/>
          <w:highlight w:val="none"/>
        </w:rPr>
        <w:t>；承接企业为</w:t>
      </w:r>
      <w:r>
        <w:rPr>
          <w:rFonts w:hint="eastAsia" w:ascii="宋体" w:hAnsi="宋体" w:eastAsia="宋体" w:cs="宋体"/>
          <w:color w:val="auto"/>
          <w:kern w:val="0"/>
          <w:sz w:val="24"/>
          <w:szCs w:val="24"/>
          <w:highlight w:val="none"/>
          <w:u w:val="single"/>
        </w:rPr>
        <w:t xml:space="preserve">（企业名称） </w:t>
      </w:r>
      <w:r>
        <w:rPr>
          <w:rFonts w:hint="eastAsia" w:ascii="宋体" w:hAnsi="宋体" w:eastAsia="宋体" w:cs="宋体"/>
          <w:color w:val="auto"/>
          <w:kern w:val="0"/>
          <w:sz w:val="24"/>
          <w:szCs w:val="24"/>
          <w:highlight w:val="none"/>
        </w:rPr>
        <w:t>，从业人员</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 产总额为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519" w:left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以上企业，不属于大企业的分支机构，不存在控股股东为大企业的情形，也不存在与大企业 的负责人为同一人的情形。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本企业对上述声明内容的真实性负责。如有虚假，将依法承担相应责任。 </w:t>
      </w:r>
    </w:p>
    <w:p>
      <w:pPr>
        <w:pStyle w:val="2"/>
        <w:ind w:left="0" w:leftChars="0" w:firstLine="0" w:firstLineChars="0"/>
        <w:rPr>
          <w:rFonts w:hint="eastAsia"/>
          <w:color w:val="auto"/>
          <w:highlight w:val="none"/>
        </w:rPr>
      </w:pP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企业名称（盖章） ： </w:t>
      </w:r>
    </w:p>
    <w:p>
      <w:pPr>
        <w:keepNext w:val="0"/>
        <w:keepLines w:val="0"/>
        <w:pageBreakBefore w:val="0"/>
        <w:numPr>
          <w:ilvl w:val="0"/>
          <w:numId w:val="0"/>
        </w:numPr>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kern w:val="0"/>
          <w:sz w:val="24"/>
          <w:szCs w:val="24"/>
          <w:highlight w:val="none"/>
        </w:rPr>
      </w:pP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日期： </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4"/>
          <w:szCs w:val="24"/>
          <w:highlight w:val="none"/>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8" w:firstLineChars="266"/>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pPr>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638" w:firstLineChars="266"/>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以联合体形式参加政府采购活动，联合体各方均为中小企业的，联合体视同中小企 业。其中，联合体各方均为小微企业的，联合体视同小微企业。 </w:t>
      </w:r>
    </w:p>
    <w:p>
      <w:pPr>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638" w:firstLineChars="266"/>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在服务采购项目中，服务由中小企业承接，即提供服务的人员为中小企业依照《中 华人民共和国劳动合同法》订立劳动合同的从业人员。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8" w:firstLineChars="266"/>
        <w:jc w:val="both"/>
        <w:textAlignment w:val="auto"/>
        <w:rPr>
          <w:rFonts w:hint="eastAsia" w:ascii="宋体" w:hAnsi="宋体" w:cs="Corbel"/>
          <w:b/>
          <w:bCs/>
          <w:color w:val="auto"/>
          <w:sz w:val="24"/>
          <w:szCs w:val="24"/>
          <w:highlight w:val="none"/>
        </w:rPr>
      </w:pPr>
      <w:r>
        <w:rPr>
          <w:rFonts w:hint="eastAsia" w:ascii="宋体" w:hAnsi="宋体" w:eastAsia="宋体" w:cs="宋体"/>
          <w:color w:val="auto"/>
          <w:kern w:val="0"/>
          <w:sz w:val="24"/>
          <w:szCs w:val="24"/>
          <w:highlight w:val="none"/>
        </w:rPr>
        <w:t xml:space="preserve">4、符合中小企业划分标准的个体工商户，在政府采购活动中视同中小企业。 </w:t>
      </w:r>
      <w:r>
        <w:rPr>
          <w:rFonts w:hint="eastAsia" w:ascii="宋体" w:hAnsi="宋体" w:cs="Corbel"/>
          <w:b/>
          <w:bCs/>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lang w:eastAsia="zh-CN"/>
        </w:rPr>
      </w:pPr>
      <w:bookmarkStart w:id="430" w:name="_Toc10851"/>
      <w:bookmarkStart w:id="431" w:name="_Toc3880"/>
      <w:r>
        <w:rPr>
          <w:rFonts w:hint="eastAsia" w:ascii="宋体" w:hAnsi="宋体" w:eastAsia="宋体" w:cs="宋体"/>
          <w:b/>
          <w:bCs/>
          <w:color w:val="auto"/>
          <w:sz w:val="24"/>
          <w:szCs w:val="24"/>
          <w:highlight w:val="none"/>
          <w:lang w:eastAsia="zh-CN"/>
        </w:rPr>
        <w:t>残疾人福利性单位声明函</w:t>
      </w:r>
      <w:bookmarkEnd w:id="430"/>
      <w:r>
        <w:rPr>
          <w:rFonts w:hint="eastAsia" w:ascii="Times New Roman" w:hAnsi="Times New Roman" w:cs="宋体"/>
          <w:b/>
          <w:bCs/>
          <w:color w:val="auto"/>
          <w:sz w:val="24"/>
          <w:szCs w:val="24"/>
          <w:highlight w:val="none"/>
        </w:rPr>
        <w:t>（如果是）</w:t>
      </w:r>
      <w:bookmarkEnd w:id="431"/>
    </w:p>
    <w:p>
      <w:pPr>
        <w:spacing w:line="360" w:lineRule="auto"/>
        <w:jc w:val="center"/>
        <w:rPr>
          <w:rFonts w:hint="eastAsia" w:ascii="Times New Roman" w:cs="宋体"/>
          <w:color w:val="auto"/>
          <w:kern w:val="0"/>
          <w:sz w:val="24"/>
          <w:szCs w:val="24"/>
          <w:highlight w:val="none"/>
        </w:rPr>
      </w:pPr>
    </w:p>
    <w:p>
      <w:pPr>
        <w:spacing w:line="360" w:lineRule="auto"/>
        <w:jc w:val="center"/>
        <w:rPr>
          <w:rFonts w:ascii="Times New Roman" w:hAnsi="Times New Roman" w:cs="Times New Roman"/>
          <w:color w:val="auto"/>
          <w:kern w:val="0"/>
          <w:sz w:val="24"/>
          <w:szCs w:val="24"/>
          <w:highlight w:val="none"/>
        </w:rPr>
      </w:pPr>
      <w:r>
        <w:rPr>
          <w:rFonts w:hint="eastAsia" w:ascii="Times New Roman" w:cs="宋体"/>
          <w:color w:val="auto"/>
          <w:kern w:val="0"/>
          <w:sz w:val="24"/>
          <w:szCs w:val="24"/>
          <w:highlight w:val="none"/>
        </w:rPr>
        <w:t>残疾人福利性单位声明函</w:t>
      </w:r>
    </w:p>
    <w:p>
      <w:pPr>
        <w:spacing w:line="360" w:lineRule="auto"/>
        <w:jc w:val="left"/>
        <w:rPr>
          <w:rFonts w:ascii="Times New Roman" w:hAnsi="Times New Roman" w:cs="Times New Roman"/>
          <w:color w:val="auto"/>
          <w:sz w:val="24"/>
          <w:szCs w:val="24"/>
          <w:highlight w:val="none"/>
          <w:u w:val="single"/>
        </w:rPr>
      </w:pPr>
      <w:r>
        <w:rPr>
          <w:rFonts w:hint="eastAsia" w:ascii="Times New Roman" w:cs="宋体"/>
          <w:color w:val="auto"/>
          <w:kern w:val="0"/>
          <w:sz w:val="24"/>
          <w:szCs w:val="24"/>
          <w:highlight w:val="none"/>
          <w:u w:val="single"/>
          <w:lang w:eastAsia="zh-CN"/>
        </w:rPr>
        <w:t>惠通建管科技有限公司</w:t>
      </w:r>
      <w:r>
        <w:rPr>
          <w:rFonts w:hint="eastAsia" w:ascii="Times New Roman" w:cs="宋体"/>
          <w:color w:val="auto"/>
          <w:kern w:val="0"/>
          <w:sz w:val="24"/>
          <w:szCs w:val="24"/>
          <w:highlight w:val="none"/>
          <w:u w:val="single"/>
        </w:rPr>
        <w:t>：</w:t>
      </w:r>
    </w:p>
    <w:p>
      <w:pPr>
        <w:adjustRightInd w:val="0"/>
        <w:snapToGrid w:val="0"/>
        <w:spacing w:line="360" w:lineRule="auto"/>
        <w:ind w:left="-86" w:leftChars="-41" w:firstLine="506" w:firstLineChars="211"/>
        <w:rPr>
          <w:rFonts w:ascii="Times New Roman" w:hAnsi="Times New Roman" w:cs="Times New Roman"/>
          <w:color w:val="auto"/>
          <w:sz w:val="24"/>
          <w:szCs w:val="24"/>
          <w:highlight w:val="none"/>
        </w:rPr>
      </w:pPr>
      <w:r>
        <w:rPr>
          <w:rFonts w:hint="eastAsia" w:ascii="Times New Roman" w:cs="宋体"/>
          <w:color w:val="auto"/>
          <w:sz w:val="24"/>
          <w:szCs w:val="24"/>
          <w:highlight w:val="none"/>
        </w:rPr>
        <w:t>本单位郑重声明，根据《财政部</w:t>
      </w:r>
      <w:r>
        <w:rPr>
          <w:rFonts w:hint="eastAsia" w:ascii="Times New Roman" w:cs="宋体"/>
          <w:color w:val="auto"/>
          <w:sz w:val="24"/>
          <w:szCs w:val="24"/>
          <w:highlight w:val="none"/>
          <w:lang w:val="en-US" w:eastAsia="zh-CN"/>
        </w:rPr>
        <w:t xml:space="preserve"> </w:t>
      </w:r>
      <w:r>
        <w:rPr>
          <w:rFonts w:hint="eastAsia" w:ascii="Times New Roman" w:cs="宋体"/>
          <w:color w:val="auto"/>
          <w:sz w:val="24"/>
          <w:szCs w:val="24"/>
          <w:highlight w:val="none"/>
        </w:rPr>
        <w:t>民政部</w:t>
      </w:r>
      <w:r>
        <w:rPr>
          <w:rFonts w:ascii="Times New Roman" w:hAnsi="Times New Roman" w:cs="Times New Roman"/>
          <w:color w:val="auto"/>
          <w:sz w:val="24"/>
          <w:szCs w:val="24"/>
          <w:highlight w:val="none"/>
        </w:rPr>
        <w:t xml:space="preserve"> </w:t>
      </w:r>
      <w:r>
        <w:rPr>
          <w:rFonts w:hint="eastAsia" w:ascii="Times New Roman" w:cs="宋体"/>
          <w:color w:val="auto"/>
          <w:sz w:val="24"/>
          <w:szCs w:val="24"/>
          <w:highlight w:val="none"/>
        </w:rPr>
        <w:t>中国残疾人联合会关于促进残疾人就业政府采购政策的通知》（财库</w:t>
      </w:r>
      <w:r>
        <w:rPr>
          <w:rFonts w:ascii="Times New Roman" w:hAnsi="Times New Roman" w:cs="Times New Roman"/>
          <w:color w:val="auto"/>
          <w:sz w:val="24"/>
          <w:szCs w:val="24"/>
          <w:highlight w:val="none"/>
        </w:rPr>
        <w:t>[2017]141</w:t>
      </w:r>
      <w:r>
        <w:rPr>
          <w:rFonts w:hint="eastAsia" w:ascii="Times New Roman" w:cs="宋体"/>
          <w:color w:val="auto"/>
          <w:sz w:val="24"/>
          <w:szCs w:val="24"/>
          <w:highlight w:val="none"/>
        </w:rPr>
        <w:t>号）的规定，本单位为符合条件的残疾人福利性单位（详见</w:t>
      </w:r>
      <w:r>
        <w:rPr>
          <w:rFonts w:ascii="Times New Roman" w:hAnsi="Times New Roman" w:cs="Times New Roman"/>
          <w:color w:val="auto"/>
          <w:sz w:val="24"/>
          <w:szCs w:val="24"/>
          <w:highlight w:val="none"/>
        </w:rPr>
        <w:t>“</w:t>
      </w:r>
      <w:r>
        <w:rPr>
          <w:rFonts w:hint="eastAsia" w:ascii="Times New Roman" w:cs="宋体"/>
          <w:color w:val="auto"/>
          <w:sz w:val="24"/>
          <w:szCs w:val="24"/>
          <w:highlight w:val="none"/>
        </w:rPr>
        <w:t>残疾人福利性单位应当满足的条件</w:t>
      </w:r>
      <w:r>
        <w:rPr>
          <w:rFonts w:ascii="Times New Roman" w:hAnsi="Times New Roman" w:cs="Times New Roman"/>
          <w:color w:val="auto"/>
          <w:sz w:val="24"/>
          <w:szCs w:val="24"/>
          <w:highlight w:val="none"/>
        </w:rPr>
        <w:t>”</w:t>
      </w:r>
      <w:r>
        <w:rPr>
          <w:rFonts w:hint="eastAsia" w:ascii="Times New Roman" w:cs="宋体"/>
          <w:color w:val="auto"/>
          <w:sz w:val="24"/>
          <w:szCs w:val="24"/>
          <w:highlight w:val="none"/>
        </w:rPr>
        <w:t>）。</w:t>
      </w:r>
    </w:p>
    <w:p>
      <w:pPr>
        <w:adjustRightInd w:val="0"/>
        <w:snapToGrid w:val="0"/>
        <w:spacing w:line="480" w:lineRule="auto"/>
        <w:ind w:left="-86" w:leftChars="-41" w:firstLine="506" w:firstLineChars="211"/>
        <w:rPr>
          <w:rFonts w:hint="eastAsia" w:ascii="Times New Roman" w:eastAsia="宋体" w:cs="Times New Roman"/>
          <w:color w:val="auto"/>
          <w:sz w:val="24"/>
          <w:szCs w:val="24"/>
          <w:highlight w:val="none"/>
          <w:lang w:eastAsia="zh-CN"/>
        </w:rPr>
      </w:pPr>
      <w:r>
        <w:rPr>
          <w:rFonts w:hint="eastAsia" w:ascii="Times New Roman" w:cs="宋体"/>
          <w:color w:val="auto"/>
          <w:sz w:val="24"/>
          <w:szCs w:val="24"/>
          <w:highlight w:val="none"/>
        </w:rPr>
        <w:t>本单位参加</w:t>
      </w:r>
      <w:r>
        <w:rPr>
          <w:rFonts w:ascii="Times New Roman" w:cs="Times New Roman"/>
          <w:color w:val="auto"/>
          <w:sz w:val="24"/>
          <w:szCs w:val="24"/>
          <w:highlight w:val="none"/>
        </w:rPr>
        <w:t>______</w:t>
      </w:r>
      <w:r>
        <w:rPr>
          <w:rFonts w:hint="eastAsia" w:ascii="Times New Roman" w:cs="宋体"/>
          <w:color w:val="auto"/>
          <w:sz w:val="24"/>
          <w:szCs w:val="24"/>
          <w:highlight w:val="none"/>
        </w:rPr>
        <w:t>单位的</w:t>
      </w:r>
      <w:r>
        <w:rPr>
          <w:rFonts w:ascii="Times New Roman" w:cs="Times New Roman"/>
          <w:color w:val="auto"/>
          <w:sz w:val="24"/>
          <w:szCs w:val="24"/>
          <w:highlight w:val="none"/>
        </w:rPr>
        <w:t>______</w:t>
      </w:r>
      <w:r>
        <w:rPr>
          <w:rFonts w:hint="eastAsia" w:ascii="Times New Roman" w:cs="宋体"/>
          <w:color w:val="auto"/>
          <w:sz w:val="24"/>
          <w:szCs w:val="24"/>
          <w:highlight w:val="none"/>
        </w:rPr>
        <w:t>项目采购活动</w:t>
      </w:r>
      <w:r>
        <w:rPr>
          <w:rFonts w:hint="eastAsia" w:ascii="Times New Roman" w:cs="宋体"/>
          <w:color w:val="auto"/>
          <w:sz w:val="24"/>
          <w:szCs w:val="24"/>
          <w:highlight w:val="none"/>
          <w:lang w:eastAsia="zh-CN"/>
        </w:rPr>
        <w:t>由本企业提供服务。</w:t>
      </w:r>
    </w:p>
    <w:p>
      <w:pPr>
        <w:adjustRightInd w:val="0"/>
        <w:snapToGrid w:val="0"/>
        <w:spacing w:line="360" w:lineRule="auto"/>
        <w:ind w:left="-86" w:leftChars="-41" w:firstLine="506" w:firstLineChars="211"/>
        <w:rPr>
          <w:rFonts w:ascii="Times New Roman" w:hAnsi="Times New Roman" w:cs="Times New Roman"/>
          <w:color w:val="auto"/>
          <w:sz w:val="24"/>
          <w:szCs w:val="24"/>
          <w:highlight w:val="none"/>
        </w:rPr>
      </w:pPr>
      <w:r>
        <w:rPr>
          <w:rFonts w:hint="eastAsia" w:ascii="Times New Roman" w:cs="宋体"/>
          <w:color w:val="auto"/>
          <w:sz w:val="24"/>
          <w:szCs w:val="24"/>
          <w:highlight w:val="none"/>
        </w:rPr>
        <w:t>本单位对上述声明的真实性负责。如有虚假，将依法承担相应责任。</w:t>
      </w:r>
    </w:p>
    <w:p>
      <w:pPr>
        <w:adjustRightInd w:val="0"/>
        <w:snapToGrid w:val="0"/>
        <w:spacing w:line="360" w:lineRule="auto"/>
        <w:ind w:left="-88" w:leftChars="-42"/>
        <w:rPr>
          <w:rFonts w:ascii="Times New Roman" w:hAnsi="Times New Roman" w:cs="Times New Roman"/>
          <w:color w:val="auto"/>
          <w:sz w:val="24"/>
          <w:szCs w:val="24"/>
          <w:highlight w:val="none"/>
        </w:rPr>
      </w:pPr>
    </w:p>
    <w:p>
      <w:pPr>
        <w:adjustRightInd w:val="0"/>
        <w:snapToGrid w:val="0"/>
        <w:spacing w:line="360" w:lineRule="auto"/>
        <w:ind w:left="-88" w:leftChars="-42"/>
        <w:rPr>
          <w:rFonts w:ascii="Times New Roman" w:hAnsi="Times New Roman" w:cs="Times New Roman"/>
          <w:color w:val="auto"/>
          <w:sz w:val="24"/>
          <w:szCs w:val="24"/>
          <w:highlight w:val="none"/>
        </w:rPr>
      </w:pPr>
    </w:p>
    <w:p>
      <w:pPr>
        <w:adjustRightInd w:val="0"/>
        <w:snapToGrid w:val="0"/>
        <w:spacing w:line="360" w:lineRule="auto"/>
        <w:ind w:left="-88" w:leftChars="-42"/>
        <w:rPr>
          <w:rFonts w:ascii="Times New Roman" w:hAnsi="Times New Roman" w:cs="Times New Roman"/>
          <w:color w:val="auto"/>
          <w:sz w:val="24"/>
          <w:szCs w:val="24"/>
          <w:highlight w:val="none"/>
        </w:rPr>
      </w:pPr>
    </w:p>
    <w:p>
      <w:pPr>
        <w:adjustRightInd w:val="0"/>
        <w:snapToGrid w:val="0"/>
        <w:spacing w:line="360" w:lineRule="auto"/>
        <w:ind w:left="-88" w:leftChars="-42"/>
        <w:rPr>
          <w:rFonts w:ascii="Times New Roman" w:hAnsi="Times New Roman" w:cs="Times New Roman"/>
          <w:color w:val="auto"/>
          <w:sz w:val="24"/>
          <w:szCs w:val="24"/>
          <w:highlight w:val="none"/>
        </w:rPr>
      </w:pPr>
    </w:p>
    <w:p>
      <w:pPr>
        <w:adjustRightInd w:val="0"/>
        <w:snapToGrid w:val="0"/>
        <w:spacing w:line="360" w:lineRule="auto"/>
        <w:ind w:left="-88" w:leftChars="-42" w:firstLine="3240" w:firstLineChars="1350"/>
        <w:rPr>
          <w:rFonts w:ascii="Times New Roman" w:hAnsi="Times New Roman" w:cs="Times New Roman"/>
          <w:color w:val="auto"/>
          <w:sz w:val="24"/>
          <w:szCs w:val="24"/>
          <w:highlight w:val="none"/>
        </w:rPr>
      </w:pPr>
      <w:r>
        <w:rPr>
          <w:rFonts w:hint="eastAsia" w:ascii="Times New Roman" w:cs="宋体"/>
          <w:color w:val="auto"/>
          <w:sz w:val="24"/>
          <w:szCs w:val="24"/>
          <w:highlight w:val="none"/>
          <w:lang w:eastAsia="zh-CN"/>
        </w:rPr>
        <w:t>响应供应商</w:t>
      </w:r>
      <w:r>
        <w:rPr>
          <w:rFonts w:hint="eastAsia" w:ascii="Times New Roman" w:cs="宋体"/>
          <w:color w:val="auto"/>
          <w:sz w:val="24"/>
          <w:szCs w:val="24"/>
          <w:highlight w:val="none"/>
        </w:rPr>
        <w:t>（公章）：</w:t>
      </w:r>
    </w:p>
    <w:p>
      <w:pPr>
        <w:adjustRightInd w:val="0"/>
        <w:snapToGrid w:val="0"/>
        <w:spacing w:line="360" w:lineRule="auto"/>
        <w:ind w:left="-88" w:leftChars="-42" w:firstLine="3240" w:firstLineChars="1350"/>
        <w:rPr>
          <w:rFonts w:ascii="Times New Roman" w:hAnsi="Times New Roman" w:cs="Times New Roman"/>
          <w:color w:val="auto"/>
          <w:sz w:val="24"/>
          <w:szCs w:val="24"/>
          <w:highlight w:val="none"/>
        </w:rPr>
      </w:pPr>
      <w:r>
        <w:rPr>
          <w:rFonts w:hint="eastAsia" w:ascii="Times New Roman" w:cs="宋体"/>
          <w:color w:val="auto"/>
          <w:sz w:val="24"/>
          <w:szCs w:val="24"/>
          <w:highlight w:val="none"/>
        </w:rPr>
        <w:t>法定代表人（签字或盖章）：</w:t>
      </w:r>
    </w:p>
    <w:p>
      <w:pPr>
        <w:tabs>
          <w:tab w:val="left" w:pos="540"/>
        </w:tabs>
        <w:autoSpaceDE w:val="0"/>
        <w:autoSpaceDN w:val="0"/>
        <w:adjustRightInd w:val="0"/>
        <w:spacing w:line="360" w:lineRule="auto"/>
        <w:ind w:left="0" w:leftChars="0" w:firstLine="3158" w:firstLineChars="1316"/>
        <w:outlineLvl w:val="1"/>
        <w:rPr>
          <w:rFonts w:hint="eastAsia" w:ascii="Times New Roman" w:cs="宋体"/>
          <w:color w:val="auto"/>
          <w:sz w:val="24"/>
          <w:szCs w:val="24"/>
          <w:highlight w:val="none"/>
        </w:rPr>
      </w:pPr>
      <w:r>
        <w:rPr>
          <w:rFonts w:hint="eastAsia" w:ascii="Times New Roman" w:cs="宋体"/>
          <w:color w:val="auto"/>
          <w:sz w:val="24"/>
          <w:szCs w:val="24"/>
          <w:highlight w:val="none"/>
        </w:rPr>
        <w:t>日</w:t>
      </w:r>
      <w:r>
        <w:rPr>
          <w:rFonts w:ascii="Times New Roman" w:hAnsi="Times New Roman" w:cs="Times New Roman"/>
          <w:color w:val="auto"/>
          <w:sz w:val="24"/>
          <w:szCs w:val="24"/>
          <w:highlight w:val="none"/>
        </w:rPr>
        <w:t xml:space="preserve">    </w:t>
      </w:r>
      <w:r>
        <w:rPr>
          <w:rFonts w:hint="eastAsia" w:ascii="Times New Roman" w:cs="宋体"/>
          <w:color w:val="auto"/>
          <w:sz w:val="24"/>
          <w:szCs w:val="24"/>
          <w:highlight w:val="none"/>
        </w:rPr>
        <w:t>期：</w:t>
      </w:r>
    </w:p>
    <w:p>
      <w:pPr>
        <w:rPr>
          <w:rFonts w:hint="eastAsia" w:ascii="Times New Roman" w:cs="宋体"/>
          <w:color w:val="auto"/>
          <w:sz w:val="24"/>
          <w:szCs w:val="24"/>
          <w:highlight w:val="none"/>
        </w:rPr>
      </w:pPr>
      <w:r>
        <w:rPr>
          <w:rFonts w:hint="eastAsia" w:ascii="Times New Roman" w:cs="宋体"/>
          <w:color w:val="auto"/>
          <w:sz w:val="24"/>
          <w:szCs w:val="24"/>
          <w:highlight w:val="none"/>
        </w:rPr>
        <w:br w:type="page"/>
      </w:r>
    </w:p>
    <w:p>
      <w:pPr>
        <w:numPr>
          <w:ilvl w:val="4"/>
          <w:numId w:val="5"/>
        </w:numPr>
        <w:tabs>
          <w:tab w:val="left" w:pos="540"/>
        </w:tabs>
        <w:autoSpaceDE w:val="0"/>
        <w:autoSpaceDN w:val="0"/>
        <w:adjustRightInd w:val="0"/>
        <w:spacing w:line="360" w:lineRule="auto"/>
        <w:ind w:left="540" w:hanging="540"/>
        <w:outlineLvl w:val="0"/>
        <w:rPr>
          <w:rFonts w:hint="eastAsia" w:ascii="宋体" w:hAnsi="宋体" w:eastAsia="宋体" w:cs="宋体"/>
          <w:b/>
          <w:bCs/>
          <w:color w:val="auto"/>
          <w:sz w:val="24"/>
          <w:szCs w:val="24"/>
          <w:highlight w:val="none"/>
          <w:lang w:val="en-US" w:eastAsia="zh-CN"/>
        </w:rPr>
      </w:pPr>
      <w:bookmarkStart w:id="432" w:name="_Toc16564"/>
      <w:bookmarkStart w:id="433" w:name="_Toc14856"/>
      <w:r>
        <w:rPr>
          <w:rFonts w:hint="eastAsia" w:ascii="宋体" w:hAnsi="宋体" w:eastAsia="宋体" w:cs="宋体"/>
          <w:b/>
          <w:bCs/>
          <w:color w:val="auto"/>
          <w:sz w:val="24"/>
          <w:szCs w:val="24"/>
          <w:highlight w:val="none"/>
          <w:lang w:val="en-US" w:eastAsia="zh-CN"/>
        </w:rPr>
        <w:t>响应供应商认为需提供的相关资料</w:t>
      </w:r>
      <w:bookmarkEnd w:id="432"/>
      <w:bookmarkEnd w:id="433"/>
    </w:p>
    <w:p>
      <w:pPr>
        <w:pStyle w:val="2"/>
        <w:rPr>
          <w:color w:val="auto"/>
          <w:highlight w:val="none"/>
        </w:rPr>
      </w:pPr>
    </w:p>
    <w:p>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（参考</w:t>
      </w:r>
      <w:r>
        <w:rPr>
          <w:rFonts w:hint="eastAsia" w:ascii="宋体" w:hAnsi="宋体" w:cs="宋体"/>
          <w:color w:val="auto"/>
          <w:sz w:val="24"/>
          <w:szCs w:val="24"/>
          <w:highlight w:val="none"/>
          <w:lang w:eastAsia="zh-CN"/>
        </w:rPr>
        <w:t>资格审查、</w:t>
      </w:r>
      <w:r>
        <w:rPr>
          <w:rFonts w:hint="eastAsia" w:ascii="宋体" w:hAnsi="宋体" w:cs="宋体"/>
          <w:color w:val="auto"/>
          <w:sz w:val="24"/>
          <w:szCs w:val="24"/>
          <w:highlight w:val="none"/>
        </w:rPr>
        <w:t>评分</w:t>
      </w:r>
      <w:r>
        <w:rPr>
          <w:rFonts w:hint="eastAsia" w:ascii="宋体" w:hAnsi="宋体" w:cs="宋体"/>
          <w:color w:val="auto"/>
          <w:sz w:val="24"/>
          <w:szCs w:val="24"/>
          <w:highlight w:val="none"/>
          <w:lang w:eastAsia="zh-CN"/>
        </w:rPr>
        <w:t>标准</w:t>
      </w:r>
      <w:r>
        <w:rPr>
          <w:rFonts w:hint="eastAsia" w:ascii="宋体" w:hAnsi="宋体" w:cs="宋体"/>
          <w:color w:val="auto"/>
          <w:sz w:val="24"/>
          <w:szCs w:val="24"/>
          <w:highlight w:val="none"/>
        </w:rPr>
        <w:t>）</w:t>
      </w:r>
    </w:p>
    <w:p>
      <w:pPr>
        <w:autoSpaceDE w:val="0"/>
        <w:autoSpaceDN w:val="0"/>
        <w:adjustRightInd w:val="0"/>
        <w:rPr>
          <w:rFonts w:ascii="宋体" w:cs="Times New Roman"/>
          <w:color w:val="auto"/>
          <w:highlight w:val="none"/>
        </w:rPr>
      </w:pPr>
    </w:p>
    <w:sectPr>
      <w:headerReference r:id="rId5" w:type="default"/>
      <w:footerReference r:id="rId6" w:type="default"/>
      <w:pgSz w:w="11906" w:h="16838"/>
      <w:pgMar w:top="1474" w:right="1474" w:bottom="1474" w:left="1474" w:header="851" w:footer="113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cs="Times New Roman"/>
      </w:rPr>
    </w:pPr>
  </w:p>
  <w:p>
    <w:pPr>
      <w:pStyle w:val="1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79"/>
        <w:tab w:val="clear" w:pos="4153"/>
      </w:tabs>
      <w:ind w:right="36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cs="Times New Roman"/>
                            </w:rPr>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12"/>
                      <w:rPr>
                        <w:rFonts w:cs="Times New Roman"/>
                      </w:rPr>
                    </w:pPr>
                    <w:r>
                      <w:fldChar w:fldCharType="begin"/>
                    </w:r>
                    <w:r>
                      <w:instrText xml:space="preserve"> PAGE  \* MERGEFORMAT </w:instrText>
                    </w:r>
                    <w:r>
                      <w:fldChar w:fldCharType="separate"/>
                    </w:r>
                    <w:r>
                      <w:t>36</w:t>
                    </w:r>
                    <w:r>
                      <w:fldChar w:fldCharType="end"/>
                    </w:r>
                  </w:p>
                </w:txbxContent>
              </v:textbox>
            </v:shape>
          </w:pict>
        </mc:Fallback>
      </mc:AlternateContent>
    </w: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华文新魏" w:eastAsia="华文新魏" w:cs="Times New Roman"/>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9D316"/>
    <w:multiLevelType w:val="singleLevel"/>
    <w:tmpl w:val="9E99D316"/>
    <w:lvl w:ilvl="0" w:tentative="0">
      <w:start w:val="5"/>
      <w:numFmt w:val="chineseCounting"/>
      <w:suff w:val="nothing"/>
      <w:lvlText w:val="%1、"/>
      <w:lvlJc w:val="left"/>
      <w:rPr>
        <w:rFonts w:hint="eastAsia"/>
      </w:rPr>
    </w:lvl>
  </w:abstractNum>
  <w:abstractNum w:abstractNumId="1">
    <w:nsid w:val="1C8005C7"/>
    <w:multiLevelType w:val="multilevel"/>
    <w:tmpl w:val="1C8005C7"/>
    <w:lvl w:ilvl="0" w:tentative="0">
      <w:start w:val="1"/>
      <w:numFmt w:val="decimal"/>
      <w:lvlText w:val="%1、"/>
      <w:lvlJc w:val="left"/>
      <w:pPr>
        <w:tabs>
          <w:tab w:val="left" w:pos="540"/>
        </w:tabs>
        <w:ind w:left="540" w:hanging="360"/>
      </w:pPr>
      <w:rPr>
        <w:rFonts w:hint="default"/>
        <w:b/>
        <w:bCs/>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bCs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bCs/>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186AB50"/>
    <w:multiLevelType w:val="singleLevel"/>
    <w:tmpl w:val="5186AB50"/>
    <w:lvl w:ilvl="0" w:tentative="0">
      <w:start w:val="6"/>
      <w:numFmt w:val="decimal"/>
      <w:suff w:val="nothing"/>
      <w:lvlText w:val="%1、"/>
      <w:lvlJc w:val="left"/>
    </w:lvl>
  </w:abstractNum>
  <w:abstractNum w:abstractNumId="4">
    <w:nsid w:val="6BE8F1AA"/>
    <w:multiLevelType w:val="singleLevel"/>
    <w:tmpl w:val="6BE8F1AA"/>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DgyYzZmZWNmOWJhYzYyMTc2ZTc5NGU1NTA0M2QifQ=="/>
  </w:docVars>
  <w:rsids>
    <w:rsidRoot w:val="55C76E32"/>
    <w:rsid w:val="00020AE4"/>
    <w:rsid w:val="0008033C"/>
    <w:rsid w:val="00195013"/>
    <w:rsid w:val="00261839"/>
    <w:rsid w:val="0034791B"/>
    <w:rsid w:val="0036355D"/>
    <w:rsid w:val="003725EA"/>
    <w:rsid w:val="004165C5"/>
    <w:rsid w:val="00443BBD"/>
    <w:rsid w:val="004C2D46"/>
    <w:rsid w:val="005244DB"/>
    <w:rsid w:val="005A5CDB"/>
    <w:rsid w:val="006209B1"/>
    <w:rsid w:val="00677786"/>
    <w:rsid w:val="007F7974"/>
    <w:rsid w:val="00803FC1"/>
    <w:rsid w:val="00806EA9"/>
    <w:rsid w:val="0086255B"/>
    <w:rsid w:val="0086580C"/>
    <w:rsid w:val="0090025C"/>
    <w:rsid w:val="009051A5"/>
    <w:rsid w:val="0095329A"/>
    <w:rsid w:val="009E5713"/>
    <w:rsid w:val="009F0205"/>
    <w:rsid w:val="00A4600D"/>
    <w:rsid w:val="00B55DCB"/>
    <w:rsid w:val="00CA5DF0"/>
    <w:rsid w:val="00CF26F7"/>
    <w:rsid w:val="00D871E8"/>
    <w:rsid w:val="00E0704A"/>
    <w:rsid w:val="00EC6087"/>
    <w:rsid w:val="01506E22"/>
    <w:rsid w:val="015C092A"/>
    <w:rsid w:val="01954B9E"/>
    <w:rsid w:val="01DF4842"/>
    <w:rsid w:val="024F16BE"/>
    <w:rsid w:val="02567D1F"/>
    <w:rsid w:val="026F66D6"/>
    <w:rsid w:val="027D1263"/>
    <w:rsid w:val="028164D8"/>
    <w:rsid w:val="028D331E"/>
    <w:rsid w:val="029B2786"/>
    <w:rsid w:val="02A84309"/>
    <w:rsid w:val="02EA503C"/>
    <w:rsid w:val="03034817"/>
    <w:rsid w:val="034D6F95"/>
    <w:rsid w:val="034E1D4C"/>
    <w:rsid w:val="036A4BBF"/>
    <w:rsid w:val="03A80F33"/>
    <w:rsid w:val="03C204BF"/>
    <w:rsid w:val="04170168"/>
    <w:rsid w:val="041B56C5"/>
    <w:rsid w:val="0436053A"/>
    <w:rsid w:val="04361525"/>
    <w:rsid w:val="043B0422"/>
    <w:rsid w:val="045F1CB9"/>
    <w:rsid w:val="04BB3F0B"/>
    <w:rsid w:val="04BF24F4"/>
    <w:rsid w:val="04C6447A"/>
    <w:rsid w:val="05161E2D"/>
    <w:rsid w:val="05464A16"/>
    <w:rsid w:val="054D59EE"/>
    <w:rsid w:val="055B2EBA"/>
    <w:rsid w:val="057A4D7A"/>
    <w:rsid w:val="05834D41"/>
    <w:rsid w:val="05891735"/>
    <w:rsid w:val="05B21E29"/>
    <w:rsid w:val="05CD04C4"/>
    <w:rsid w:val="05E0766C"/>
    <w:rsid w:val="05E37CD3"/>
    <w:rsid w:val="05E54727"/>
    <w:rsid w:val="060B0BCF"/>
    <w:rsid w:val="06290368"/>
    <w:rsid w:val="063A38FE"/>
    <w:rsid w:val="063D783D"/>
    <w:rsid w:val="06566F3E"/>
    <w:rsid w:val="06634854"/>
    <w:rsid w:val="066E7219"/>
    <w:rsid w:val="06841016"/>
    <w:rsid w:val="06995285"/>
    <w:rsid w:val="06F54533"/>
    <w:rsid w:val="07074ED8"/>
    <w:rsid w:val="073950B5"/>
    <w:rsid w:val="07464596"/>
    <w:rsid w:val="0746646C"/>
    <w:rsid w:val="07597702"/>
    <w:rsid w:val="07EA654E"/>
    <w:rsid w:val="086065C7"/>
    <w:rsid w:val="08967C75"/>
    <w:rsid w:val="08B73946"/>
    <w:rsid w:val="08C222EC"/>
    <w:rsid w:val="08D448AB"/>
    <w:rsid w:val="09231FC7"/>
    <w:rsid w:val="0942290A"/>
    <w:rsid w:val="09B9194C"/>
    <w:rsid w:val="09BF00B4"/>
    <w:rsid w:val="09C028C2"/>
    <w:rsid w:val="0A0D645D"/>
    <w:rsid w:val="0A1E1220"/>
    <w:rsid w:val="0A395E7C"/>
    <w:rsid w:val="0A7E4505"/>
    <w:rsid w:val="0A8F1CE0"/>
    <w:rsid w:val="0AC03E76"/>
    <w:rsid w:val="0AD101C4"/>
    <w:rsid w:val="0ADA67CF"/>
    <w:rsid w:val="0B0E1C68"/>
    <w:rsid w:val="0B1A6FC8"/>
    <w:rsid w:val="0B3C310D"/>
    <w:rsid w:val="0B3E1591"/>
    <w:rsid w:val="0B555E73"/>
    <w:rsid w:val="0B58199D"/>
    <w:rsid w:val="0B61774C"/>
    <w:rsid w:val="0C01132D"/>
    <w:rsid w:val="0C3F7332"/>
    <w:rsid w:val="0C55104C"/>
    <w:rsid w:val="0C866B0C"/>
    <w:rsid w:val="0C8D75D7"/>
    <w:rsid w:val="0CB67A0E"/>
    <w:rsid w:val="0CD3399D"/>
    <w:rsid w:val="0CD61DD0"/>
    <w:rsid w:val="0CE2079D"/>
    <w:rsid w:val="0CF91DFA"/>
    <w:rsid w:val="0D224F8E"/>
    <w:rsid w:val="0D3B2415"/>
    <w:rsid w:val="0D415DCC"/>
    <w:rsid w:val="0D4538C6"/>
    <w:rsid w:val="0D624317"/>
    <w:rsid w:val="0D655D5B"/>
    <w:rsid w:val="0D693CBF"/>
    <w:rsid w:val="0D6A5072"/>
    <w:rsid w:val="0DB145B6"/>
    <w:rsid w:val="0DC0353E"/>
    <w:rsid w:val="0DC10C4D"/>
    <w:rsid w:val="0DCD4726"/>
    <w:rsid w:val="0DD47812"/>
    <w:rsid w:val="0DE3535E"/>
    <w:rsid w:val="0E0A4F0C"/>
    <w:rsid w:val="0E1A1235"/>
    <w:rsid w:val="0E32794E"/>
    <w:rsid w:val="0E3E033F"/>
    <w:rsid w:val="0E4B1DA8"/>
    <w:rsid w:val="0E995DBB"/>
    <w:rsid w:val="0EBE0CD5"/>
    <w:rsid w:val="0ECF5749"/>
    <w:rsid w:val="0F0E61B2"/>
    <w:rsid w:val="0F0F7C34"/>
    <w:rsid w:val="0F16177A"/>
    <w:rsid w:val="0F3D5F74"/>
    <w:rsid w:val="0F5D7554"/>
    <w:rsid w:val="0F6E6ABF"/>
    <w:rsid w:val="0F9A3F1B"/>
    <w:rsid w:val="0FC015E8"/>
    <w:rsid w:val="0FCF3259"/>
    <w:rsid w:val="100E0F00"/>
    <w:rsid w:val="101711F2"/>
    <w:rsid w:val="105E7067"/>
    <w:rsid w:val="107165F9"/>
    <w:rsid w:val="109D42BF"/>
    <w:rsid w:val="11222815"/>
    <w:rsid w:val="113A43BB"/>
    <w:rsid w:val="115B5994"/>
    <w:rsid w:val="116D7342"/>
    <w:rsid w:val="11B26857"/>
    <w:rsid w:val="11C200C9"/>
    <w:rsid w:val="11C71EB0"/>
    <w:rsid w:val="11D4250F"/>
    <w:rsid w:val="11F923B4"/>
    <w:rsid w:val="12187BF6"/>
    <w:rsid w:val="12322C09"/>
    <w:rsid w:val="12526A26"/>
    <w:rsid w:val="125D3343"/>
    <w:rsid w:val="12651303"/>
    <w:rsid w:val="129D035E"/>
    <w:rsid w:val="12D65E6B"/>
    <w:rsid w:val="1312431D"/>
    <w:rsid w:val="134411B3"/>
    <w:rsid w:val="135121EB"/>
    <w:rsid w:val="1378455D"/>
    <w:rsid w:val="13AD10B0"/>
    <w:rsid w:val="13D20741"/>
    <w:rsid w:val="13DF4927"/>
    <w:rsid w:val="13E03069"/>
    <w:rsid w:val="142912CE"/>
    <w:rsid w:val="142D646E"/>
    <w:rsid w:val="14670F6A"/>
    <w:rsid w:val="14B66F55"/>
    <w:rsid w:val="14C035E9"/>
    <w:rsid w:val="15407A4F"/>
    <w:rsid w:val="15513C03"/>
    <w:rsid w:val="155A2235"/>
    <w:rsid w:val="157D6D23"/>
    <w:rsid w:val="15890774"/>
    <w:rsid w:val="15AB3962"/>
    <w:rsid w:val="15ED4731"/>
    <w:rsid w:val="162028D6"/>
    <w:rsid w:val="162B0CDE"/>
    <w:rsid w:val="16406E9A"/>
    <w:rsid w:val="164C5E31"/>
    <w:rsid w:val="165149F6"/>
    <w:rsid w:val="167A2737"/>
    <w:rsid w:val="16894B7C"/>
    <w:rsid w:val="16A319EE"/>
    <w:rsid w:val="16BA7045"/>
    <w:rsid w:val="16CE64BD"/>
    <w:rsid w:val="16D0586D"/>
    <w:rsid w:val="17046433"/>
    <w:rsid w:val="170B4AC8"/>
    <w:rsid w:val="171820EB"/>
    <w:rsid w:val="17195948"/>
    <w:rsid w:val="1741563D"/>
    <w:rsid w:val="17CF10C0"/>
    <w:rsid w:val="17DD4A62"/>
    <w:rsid w:val="18070C40"/>
    <w:rsid w:val="188A5E33"/>
    <w:rsid w:val="188E74A1"/>
    <w:rsid w:val="189D5C5C"/>
    <w:rsid w:val="18C33D66"/>
    <w:rsid w:val="18C45175"/>
    <w:rsid w:val="18D262CD"/>
    <w:rsid w:val="18D6793C"/>
    <w:rsid w:val="18DA24F4"/>
    <w:rsid w:val="18F7391A"/>
    <w:rsid w:val="19866AE1"/>
    <w:rsid w:val="199D107A"/>
    <w:rsid w:val="19AF2012"/>
    <w:rsid w:val="19AF6ED1"/>
    <w:rsid w:val="19AF7D58"/>
    <w:rsid w:val="19C457D0"/>
    <w:rsid w:val="19C91540"/>
    <w:rsid w:val="19E20B50"/>
    <w:rsid w:val="19F608CF"/>
    <w:rsid w:val="1A25491F"/>
    <w:rsid w:val="1A404946"/>
    <w:rsid w:val="1A48116E"/>
    <w:rsid w:val="1A72696D"/>
    <w:rsid w:val="1A862BE0"/>
    <w:rsid w:val="1A9116E9"/>
    <w:rsid w:val="1AC50329"/>
    <w:rsid w:val="1AC64CB5"/>
    <w:rsid w:val="1AEB34A4"/>
    <w:rsid w:val="1B0D7F81"/>
    <w:rsid w:val="1B526C93"/>
    <w:rsid w:val="1B643162"/>
    <w:rsid w:val="1B70122D"/>
    <w:rsid w:val="1B717886"/>
    <w:rsid w:val="1B7B7AC8"/>
    <w:rsid w:val="1B8F7D40"/>
    <w:rsid w:val="1BAF4730"/>
    <w:rsid w:val="1BC95A11"/>
    <w:rsid w:val="1BF7653F"/>
    <w:rsid w:val="1C1D7D50"/>
    <w:rsid w:val="1C3515B9"/>
    <w:rsid w:val="1C4D71C1"/>
    <w:rsid w:val="1C8366CC"/>
    <w:rsid w:val="1CBE5EE2"/>
    <w:rsid w:val="1D333E12"/>
    <w:rsid w:val="1D641130"/>
    <w:rsid w:val="1D7E2991"/>
    <w:rsid w:val="1D863AAC"/>
    <w:rsid w:val="1DE543BE"/>
    <w:rsid w:val="1DF1528F"/>
    <w:rsid w:val="1E467D0D"/>
    <w:rsid w:val="1E6108FC"/>
    <w:rsid w:val="1E757F16"/>
    <w:rsid w:val="1E7918FB"/>
    <w:rsid w:val="1EA20253"/>
    <w:rsid w:val="1EA440FC"/>
    <w:rsid w:val="1EA70030"/>
    <w:rsid w:val="1EC86C21"/>
    <w:rsid w:val="1EDF34DA"/>
    <w:rsid w:val="1EE66822"/>
    <w:rsid w:val="1EF273BA"/>
    <w:rsid w:val="1EF67E7E"/>
    <w:rsid w:val="1EFB515A"/>
    <w:rsid w:val="1F144F74"/>
    <w:rsid w:val="1F214DF1"/>
    <w:rsid w:val="1F3A2C21"/>
    <w:rsid w:val="1F402C12"/>
    <w:rsid w:val="1F53240F"/>
    <w:rsid w:val="1FBC57DE"/>
    <w:rsid w:val="1FD24412"/>
    <w:rsid w:val="1FDC301A"/>
    <w:rsid w:val="1FE81489"/>
    <w:rsid w:val="202D7220"/>
    <w:rsid w:val="204E7A91"/>
    <w:rsid w:val="207D03E1"/>
    <w:rsid w:val="208848CC"/>
    <w:rsid w:val="20C847A8"/>
    <w:rsid w:val="20D118F6"/>
    <w:rsid w:val="20D84617"/>
    <w:rsid w:val="20E1317C"/>
    <w:rsid w:val="21590BE9"/>
    <w:rsid w:val="215D6D7E"/>
    <w:rsid w:val="217D4641"/>
    <w:rsid w:val="21824786"/>
    <w:rsid w:val="21CF4C98"/>
    <w:rsid w:val="21FC7911"/>
    <w:rsid w:val="221E5D39"/>
    <w:rsid w:val="22417786"/>
    <w:rsid w:val="22502E68"/>
    <w:rsid w:val="2251030C"/>
    <w:rsid w:val="22530565"/>
    <w:rsid w:val="226807D7"/>
    <w:rsid w:val="228174DE"/>
    <w:rsid w:val="22A36F93"/>
    <w:rsid w:val="22E1745B"/>
    <w:rsid w:val="23133331"/>
    <w:rsid w:val="23467474"/>
    <w:rsid w:val="23572EB4"/>
    <w:rsid w:val="237E22A4"/>
    <w:rsid w:val="23C11E27"/>
    <w:rsid w:val="243D1E42"/>
    <w:rsid w:val="24A55708"/>
    <w:rsid w:val="24AA4123"/>
    <w:rsid w:val="24BB4F06"/>
    <w:rsid w:val="24DB29D9"/>
    <w:rsid w:val="24DD505C"/>
    <w:rsid w:val="24DF33AF"/>
    <w:rsid w:val="24FA441D"/>
    <w:rsid w:val="25146005"/>
    <w:rsid w:val="251C3417"/>
    <w:rsid w:val="254D1FA0"/>
    <w:rsid w:val="254F1550"/>
    <w:rsid w:val="258C5526"/>
    <w:rsid w:val="259461D1"/>
    <w:rsid w:val="263C6EFB"/>
    <w:rsid w:val="264C6D65"/>
    <w:rsid w:val="26820E3C"/>
    <w:rsid w:val="26993736"/>
    <w:rsid w:val="27045F82"/>
    <w:rsid w:val="27077F71"/>
    <w:rsid w:val="27374D79"/>
    <w:rsid w:val="274E35DC"/>
    <w:rsid w:val="275A12CE"/>
    <w:rsid w:val="27832979"/>
    <w:rsid w:val="279D1D34"/>
    <w:rsid w:val="27CF1C7F"/>
    <w:rsid w:val="27D84C3A"/>
    <w:rsid w:val="28102A33"/>
    <w:rsid w:val="281A5C0F"/>
    <w:rsid w:val="282448C7"/>
    <w:rsid w:val="282571DC"/>
    <w:rsid w:val="282A55AE"/>
    <w:rsid w:val="282C78D5"/>
    <w:rsid w:val="283B1DBA"/>
    <w:rsid w:val="2864041A"/>
    <w:rsid w:val="28681536"/>
    <w:rsid w:val="289135F1"/>
    <w:rsid w:val="289D2CE9"/>
    <w:rsid w:val="28A42A88"/>
    <w:rsid w:val="28C064CC"/>
    <w:rsid w:val="28D764A4"/>
    <w:rsid w:val="28F2396E"/>
    <w:rsid w:val="29127600"/>
    <w:rsid w:val="297047C4"/>
    <w:rsid w:val="29740208"/>
    <w:rsid w:val="29781FC1"/>
    <w:rsid w:val="297A3AC9"/>
    <w:rsid w:val="2982205B"/>
    <w:rsid w:val="29827257"/>
    <w:rsid w:val="299A3F53"/>
    <w:rsid w:val="29BF670C"/>
    <w:rsid w:val="29C143B0"/>
    <w:rsid w:val="29D70893"/>
    <w:rsid w:val="2A0957B0"/>
    <w:rsid w:val="2A0D20C9"/>
    <w:rsid w:val="2A6E6665"/>
    <w:rsid w:val="2AE84EC8"/>
    <w:rsid w:val="2B227E1B"/>
    <w:rsid w:val="2B596D2D"/>
    <w:rsid w:val="2B627FAC"/>
    <w:rsid w:val="2B6B6FCF"/>
    <w:rsid w:val="2B9E2066"/>
    <w:rsid w:val="2BA91D19"/>
    <w:rsid w:val="2BC515B3"/>
    <w:rsid w:val="2BC76AD8"/>
    <w:rsid w:val="2BCB68BD"/>
    <w:rsid w:val="2BD47B9C"/>
    <w:rsid w:val="2BFE3E4F"/>
    <w:rsid w:val="2C0109C5"/>
    <w:rsid w:val="2C31197E"/>
    <w:rsid w:val="2C6B3D4D"/>
    <w:rsid w:val="2CA9332D"/>
    <w:rsid w:val="2CFB73C2"/>
    <w:rsid w:val="2CFD1812"/>
    <w:rsid w:val="2D0B5976"/>
    <w:rsid w:val="2D1032FB"/>
    <w:rsid w:val="2D37716A"/>
    <w:rsid w:val="2D3E68B6"/>
    <w:rsid w:val="2D440BF7"/>
    <w:rsid w:val="2D4C12DF"/>
    <w:rsid w:val="2D623F84"/>
    <w:rsid w:val="2D7B3A05"/>
    <w:rsid w:val="2D7D505D"/>
    <w:rsid w:val="2DCD02E2"/>
    <w:rsid w:val="2DD0039E"/>
    <w:rsid w:val="2DDB0E8E"/>
    <w:rsid w:val="2DDF3803"/>
    <w:rsid w:val="2DE21248"/>
    <w:rsid w:val="2E0005E0"/>
    <w:rsid w:val="2E466CF0"/>
    <w:rsid w:val="2E543ABB"/>
    <w:rsid w:val="2E842003"/>
    <w:rsid w:val="2E90594E"/>
    <w:rsid w:val="2EBE7E1F"/>
    <w:rsid w:val="2ED36F27"/>
    <w:rsid w:val="2F13593D"/>
    <w:rsid w:val="2F6B12FB"/>
    <w:rsid w:val="2F6E695B"/>
    <w:rsid w:val="2F752E1E"/>
    <w:rsid w:val="2F7609E2"/>
    <w:rsid w:val="2F942AE9"/>
    <w:rsid w:val="2F98584F"/>
    <w:rsid w:val="2FA34D53"/>
    <w:rsid w:val="2FA95BEE"/>
    <w:rsid w:val="2FB061E3"/>
    <w:rsid w:val="2FB264D8"/>
    <w:rsid w:val="2FB805AE"/>
    <w:rsid w:val="2FEC51A7"/>
    <w:rsid w:val="302B2998"/>
    <w:rsid w:val="30463315"/>
    <w:rsid w:val="30677D88"/>
    <w:rsid w:val="308847C5"/>
    <w:rsid w:val="30DE74B7"/>
    <w:rsid w:val="30E1071C"/>
    <w:rsid w:val="311C116A"/>
    <w:rsid w:val="313A5815"/>
    <w:rsid w:val="31416A3C"/>
    <w:rsid w:val="31732ACA"/>
    <w:rsid w:val="318A2BAA"/>
    <w:rsid w:val="31BF1189"/>
    <w:rsid w:val="31BF4084"/>
    <w:rsid w:val="31F95E76"/>
    <w:rsid w:val="32186A23"/>
    <w:rsid w:val="321D494D"/>
    <w:rsid w:val="32200039"/>
    <w:rsid w:val="322C6FF0"/>
    <w:rsid w:val="323A6A36"/>
    <w:rsid w:val="324B51F0"/>
    <w:rsid w:val="325431DE"/>
    <w:rsid w:val="326D799F"/>
    <w:rsid w:val="32782E7C"/>
    <w:rsid w:val="32832813"/>
    <w:rsid w:val="3288799D"/>
    <w:rsid w:val="32905D09"/>
    <w:rsid w:val="32C20D0E"/>
    <w:rsid w:val="32C92CF6"/>
    <w:rsid w:val="32E76136"/>
    <w:rsid w:val="33146CDF"/>
    <w:rsid w:val="335541A2"/>
    <w:rsid w:val="33C90171"/>
    <w:rsid w:val="33D27B5C"/>
    <w:rsid w:val="340474E7"/>
    <w:rsid w:val="341F458E"/>
    <w:rsid w:val="342348E6"/>
    <w:rsid w:val="342A2C6A"/>
    <w:rsid w:val="343171A5"/>
    <w:rsid w:val="347D6521"/>
    <w:rsid w:val="349A2577"/>
    <w:rsid w:val="34A8382A"/>
    <w:rsid w:val="34D431F6"/>
    <w:rsid w:val="352258D7"/>
    <w:rsid w:val="35686966"/>
    <w:rsid w:val="358931B1"/>
    <w:rsid w:val="35935666"/>
    <w:rsid w:val="359B7214"/>
    <w:rsid w:val="35A03C8E"/>
    <w:rsid w:val="35A71FF3"/>
    <w:rsid w:val="35D041EE"/>
    <w:rsid w:val="35E00F15"/>
    <w:rsid w:val="362B052F"/>
    <w:rsid w:val="362F115F"/>
    <w:rsid w:val="365460A6"/>
    <w:rsid w:val="36751FDE"/>
    <w:rsid w:val="36821841"/>
    <w:rsid w:val="3685360D"/>
    <w:rsid w:val="36AE5522"/>
    <w:rsid w:val="36BF2395"/>
    <w:rsid w:val="36D41278"/>
    <w:rsid w:val="3745657A"/>
    <w:rsid w:val="37541BAF"/>
    <w:rsid w:val="37996DF4"/>
    <w:rsid w:val="37B24349"/>
    <w:rsid w:val="37B25EEB"/>
    <w:rsid w:val="37B37F82"/>
    <w:rsid w:val="37BA1BF8"/>
    <w:rsid w:val="37CC0145"/>
    <w:rsid w:val="37D7471E"/>
    <w:rsid w:val="37DC6928"/>
    <w:rsid w:val="38034FD5"/>
    <w:rsid w:val="38320B2F"/>
    <w:rsid w:val="38326AAB"/>
    <w:rsid w:val="38385387"/>
    <w:rsid w:val="386D39AE"/>
    <w:rsid w:val="38A33464"/>
    <w:rsid w:val="38A35C7B"/>
    <w:rsid w:val="38B0335F"/>
    <w:rsid w:val="38B5504A"/>
    <w:rsid w:val="38CC156E"/>
    <w:rsid w:val="38DF671D"/>
    <w:rsid w:val="38FF10F4"/>
    <w:rsid w:val="390745F9"/>
    <w:rsid w:val="390918F1"/>
    <w:rsid w:val="394140A8"/>
    <w:rsid w:val="394958B5"/>
    <w:rsid w:val="39763393"/>
    <w:rsid w:val="39A31676"/>
    <w:rsid w:val="39A90DDB"/>
    <w:rsid w:val="39C06382"/>
    <w:rsid w:val="39DF6430"/>
    <w:rsid w:val="3A351576"/>
    <w:rsid w:val="3A3C19A5"/>
    <w:rsid w:val="3A446C16"/>
    <w:rsid w:val="3A464815"/>
    <w:rsid w:val="3A470603"/>
    <w:rsid w:val="3A5F6158"/>
    <w:rsid w:val="3AA61E34"/>
    <w:rsid w:val="3AF52DC3"/>
    <w:rsid w:val="3AF94817"/>
    <w:rsid w:val="3B11757D"/>
    <w:rsid w:val="3B3530B9"/>
    <w:rsid w:val="3B3A2D2A"/>
    <w:rsid w:val="3B471B36"/>
    <w:rsid w:val="3B9E2828"/>
    <w:rsid w:val="3BA17D3C"/>
    <w:rsid w:val="3BA53AC7"/>
    <w:rsid w:val="3BD0001B"/>
    <w:rsid w:val="3BD07928"/>
    <w:rsid w:val="3BF04110"/>
    <w:rsid w:val="3C13214A"/>
    <w:rsid w:val="3C1E0E57"/>
    <w:rsid w:val="3C27073A"/>
    <w:rsid w:val="3C3B79AF"/>
    <w:rsid w:val="3C6C02DD"/>
    <w:rsid w:val="3C7B12A1"/>
    <w:rsid w:val="3C814516"/>
    <w:rsid w:val="3C825BA7"/>
    <w:rsid w:val="3C911452"/>
    <w:rsid w:val="3C9868E3"/>
    <w:rsid w:val="3CB82560"/>
    <w:rsid w:val="3CBB06C3"/>
    <w:rsid w:val="3CC533BC"/>
    <w:rsid w:val="3CDE6802"/>
    <w:rsid w:val="3CF24D50"/>
    <w:rsid w:val="3CFE5E3F"/>
    <w:rsid w:val="3D2E7A5E"/>
    <w:rsid w:val="3D474BA6"/>
    <w:rsid w:val="3D606110"/>
    <w:rsid w:val="3D7C76E4"/>
    <w:rsid w:val="3D8254AF"/>
    <w:rsid w:val="3D831B08"/>
    <w:rsid w:val="3E2A5AA7"/>
    <w:rsid w:val="3E7D3EA5"/>
    <w:rsid w:val="3E817391"/>
    <w:rsid w:val="3E9669DC"/>
    <w:rsid w:val="3EAD33B0"/>
    <w:rsid w:val="3EAD663D"/>
    <w:rsid w:val="3EC57A22"/>
    <w:rsid w:val="3ED4666D"/>
    <w:rsid w:val="3EEF4CA6"/>
    <w:rsid w:val="3F3245B7"/>
    <w:rsid w:val="3F4B1490"/>
    <w:rsid w:val="3F500616"/>
    <w:rsid w:val="3F8159AD"/>
    <w:rsid w:val="3FB913F4"/>
    <w:rsid w:val="3FC22F6A"/>
    <w:rsid w:val="3FFB31A7"/>
    <w:rsid w:val="40217C87"/>
    <w:rsid w:val="403A1F2E"/>
    <w:rsid w:val="404A7576"/>
    <w:rsid w:val="40552CCB"/>
    <w:rsid w:val="408365F6"/>
    <w:rsid w:val="408731CA"/>
    <w:rsid w:val="4092398A"/>
    <w:rsid w:val="40B05607"/>
    <w:rsid w:val="40C37DAC"/>
    <w:rsid w:val="40E2664E"/>
    <w:rsid w:val="40EE44DF"/>
    <w:rsid w:val="410E3970"/>
    <w:rsid w:val="411119E0"/>
    <w:rsid w:val="41150FBC"/>
    <w:rsid w:val="41263799"/>
    <w:rsid w:val="414702C6"/>
    <w:rsid w:val="41A045BC"/>
    <w:rsid w:val="41CB072F"/>
    <w:rsid w:val="41DC5930"/>
    <w:rsid w:val="41EF3B03"/>
    <w:rsid w:val="41FB0109"/>
    <w:rsid w:val="420A0258"/>
    <w:rsid w:val="42144771"/>
    <w:rsid w:val="421F114A"/>
    <w:rsid w:val="422F2597"/>
    <w:rsid w:val="42801819"/>
    <w:rsid w:val="428978C8"/>
    <w:rsid w:val="429B4C8C"/>
    <w:rsid w:val="42CE3E0F"/>
    <w:rsid w:val="42D00844"/>
    <w:rsid w:val="42E67767"/>
    <w:rsid w:val="42F356A2"/>
    <w:rsid w:val="42F95212"/>
    <w:rsid w:val="430E7408"/>
    <w:rsid w:val="43181CAE"/>
    <w:rsid w:val="433004AA"/>
    <w:rsid w:val="43367854"/>
    <w:rsid w:val="43704704"/>
    <w:rsid w:val="43753083"/>
    <w:rsid w:val="439E6C0E"/>
    <w:rsid w:val="43A4013B"/>
    <w:rsid w:val="43D5393C"/>
    <w:rsid w:val="4403090B"/>
    <w:rsid w:val="443474DE"/>
    <w:rsid w:val="44352EBF"/>
    <w:rsid w:val="44AD27B2"/>
    <w:rsid w:val="44FF1D02"/>
    <w:rsid w:val="45014C33"/>
    <w:rsid w:val="45367841"/>
    <w:rsid w:val="453C5668"/>
    <w:rsid w:val="457F0FF4"/>
    <w:rsid w:val="45977C4A"/>
    <w:rsid w:val="459A319C"/>
    <w:rsid w:val="45A00323"/>
    <w:rsid w:val="46393858"/>
    <w:rsid w:val="469559F6"/>
    <w:rsid w:val="46A12B00"/>
    <w:rsid w:val="46A94575"/>
    <w:rsid w:val="46BC7BD8"/>
    <w:rsid w:val="46C17134"/>
    <w:rsid w:val="46D42A1C"/>
    <w:rsid w:val="46EA19EA"/>
    <w:rsid w:val="472A436D"/>
    <w:rsid w:val="47616459"/>
    <w:rsid w:val="47673B6D"/>
    <w:rsid w:val="477E3812"/>
    <w:rsid w:val="477E72E5"/>
    <w:rsid w:val="478424E6"/>
    <w:rsid w:val="478A258A"/>
    <w:rsid w:val="47A44777"/>
    <w:rsid w:val="47B71802"/>
    <w:rsid w:val="47D50CDF"/>
    <w:rsid w:val="47E03ADA"/>
    <w:rsid w:val="48205877"/>
    <w:rsid w:val="484069C5"/>
    <w:rsid w:val="485D7020"/>
    <w:rsid w:val="486D0C60"/>
    <w:rsid w:val="488752CB"/>
    <w:rsid w:val="48A80046"/>
    <w:rsid w:val="48BE2920"/>
    <w:rsid w:val="48C44EB7"/>
    <w:rsid w:val="48E4486B"/>
    <w:rsid w:val="48EC326B"/>
    <w:rsid w:val="4910310A"/>
    <w:rsid w:val="492D5BCF"/>
    <w:rsid w:val="49371F9E"/>
    <w:rsid w:val="4949138B"/>
    <w:rsid w:val="4958724B"/>
    <w:rsid w:val="495B3DC8"/>
    <w:rsid w:val="496601C9"/>
    <w:rsid w:val="49885887"/>
    <w:rsid w:val="499514BA"/>
    <w:rsid w:val="49B156FD"/>
    <w:rsid w:val="49B90698"/>
    <w:rsid w:val="49BD0EEA"/>
    <w:rsid w:val="49DC0951"/>
    <w:rsid w:val="49E06450"/>
    <w:rsid w:val="4A221B35"/>
    <w:rsid w:val="4A3017FF"/>
    <w:rsid w:val="4A702E99"/>
    <w:rsid w:val="4A812AB1"/>
    <w:rsid w:val="4AAB40B2"/>
    <w:rsid w:val="4AC80998"/>
    <w:rsid w:val="4AE305D9"/>
    <w:rsid w:val="4AFC528E"/>
    <w:rsid w:val="4B2D0A23"/>
    <w:rsid w:val="4B2E3657"/>
    <w:rsid w:val="4B437BC3"/>
    <w:rsid w:val="4B505AF2"/>
    <w:rsid w:val="4B655A54"/>
    <w:rsid w:val="4B6567CC"/>
    <w:rsid w:val="4B941724"/>
    <w:rsid w:val="4BA02322"/>
    <w:rsid w:val="4BE4627D"/>
    <w:rsid w:val="4C1B2B9E"/>
    <w:rsid w:val="4C286337"/>
    <w:rsid w:val="4C4B0D21"/>
    <w:rsid w:val="4C896D92"/>
    <w:rsid w:val="4CA635DE"/>
    <w:rsid w:val="4CF11DF4"/>
    <w:rsid w:val="4D1B5A56"/>
    <w:rsid w:val="4D1C6829"/>
    <w:rsid w:val="4D1D0A02"/>
    <w:rsid w:val="4D8C6638"/>
    <w:rsid w:val="4D8E1994"/>
    <w:rsid w:val="4DC55984"/>
    <w:rsid w:val="4DDE4505"/>
    <w:rsid w:val="4DE8246A"/>
    <w:rsid w:val="4DEC036A"/>
    <w:rsid w:val="4DF4513D"/>
    <w:rsid w:val="4DF74B8A"/>
    <w:rsid w:val="4E287030"/>
    <w:rsid w:val="4E294C0F"/>
    <w:rsid w:val="4E4121F3"/>
    <w:rsid w:val="4E541137"/>
    <w:rsid w:val="4E711F28"/>
    <w:rsid w:val="4E854086"/>
    <w:rsid w:val="4E8F27F2"/>
    <w:rsid w:val="4E94122D"/>
    <w:rsid w:val="4EBF717E"/>
    <w:rsid w:val="4EFC2D6E"/>
    <w:rsid w:val="4F3E0C92"/>
    <w:rsid w:val="4F3E0DDA"/>
    <w:rsid w:val="4F6A6490"/>
    <w:rsid w:val="4F8608DF"/>
    <w:rsid w:val="4FB31E68"/>
    <w:rsid w:val="4FBA39BB"/>
    <w:rsid w:val="4FD102D9"/>
    <w:rsid w:val="4FD12CA0"/>
    <w:rsid w:val="5019149C"/>
    <w:rsid w:val="502356C0"/>
    <w:rsid w:val="5028088E"/>
    <w:rsid w:val="504600AB"/>
    <w:rsid w:val="5058583D"/>
    <w:rsid w:val="507119EE"/>
    <w:rsid w:val="510E2A52"/>
    <w:rsid w:val="511B02DB"/>
    <w:rsid w:val="51263BAA"/>
    <w:rsid w:val="512B0C99"/>
    <w:rsid w:val="51590FEC"/>
    <w:rsid w:val="515D51BE"/>
    <w:rsid w:val="51640772"/>
    <w:rsid w:val="516C13B4"/>
    <w:rsid w:val="51730BA4"/>
    <w:rsid w:val="517638AE"/>
    <w:rsid w:val="51A00011"/>
    <w:rsid w:val="51DD2421"/>
    <w:rsid w:val="51E77F72"/>
    <w:rsid w:val="51EE3964"/>
    <w:rsid w:val="52036FA6"/>
    <w:rsid w:val="52195DC8"/>
    <w:rsid w:val="524809F3"/>
    <w:rsid w:val="525B334C"/>
    <w:rsid w:val="5285015E"/>
    <w:rsid w:val="528E4F53"/>
    <w:rsid w:val="52CC0BDD"/>
    <w:rsid w:val="52F37B5A"/>
    <w:rsid w:val="53004C51"/>
    <w:rsid w:val="53021812"/>
    <w:rsid w:val="53060E37"/>
    <w:rsid w:val="5317058B"/>
    <w:rsid w:val="53250AEF"/>
    <w:rsid w:val="53524851"/>
    <w:rsid w:val="53790CF4"/>
    <w:rsid w:val="538566C9"/>
    <w:rsid w:val="538A7EDE"/>
    <w:rsid w:val="53B40159"/>
    <w:rsid w:val="53E71CDF"/>
    <w:rsid w:val="5466192F"/>
    <w:rsid w:val="548525D5"/>
    <w:rsid w:val="5493096A"/>
    <w:rsid w:val="54AF5E8F"/>
    <w:rsid w:val="54B20192"/>
    <w:rsid w:val="54CA1625"/>
    <w:rsid w:val="54D041DD"/>
    <w:rsid w:val="54EA0303"/>
    <w:rsid w:val="550D47D4"/>
    <w:rsid w:val="55117939"/>
    <w:rsid w:val="553A5D4A"/>
    <w:rsid w:val="558F2357"/>
    <w:rsid w:val="55901C70"/>
    <w:rsid w:val="55B212DD"/>
    <w:rsid w:val="55C76E32"/>
    <w:rsid w:val="55EB5BE3"/>
    <w:rsid w:val="56344F32"/>
    <w:rsid w:val="56526697"/>
    <w:rsid w:val="566409C1"/>
    <w:rsid w:val="5671222D"/>
    <w:rsid w:val="567B029A"/>
    <w:rsid w:val="568E1A77"/>
    <w:rsid w:val="569951D6"/>
    <w:rsid w:val="56995FC3"/>
    <w:rsid w:val="56A37AB4"/>
    <w:rsid w:val="56E400A6"/>
    <w:rsid w:val="56F06FB1"/>
    <w:rsid w:val="57391CF6"/>
    <w:rsid w:val="57421F67"/>
    <w:rsid w:val="5760681C"/>
    <w:rsid w:val="577D306A"/>
    <w:rsid w:val="57924D53"/>
    <w:rsid w:val="579D15B3"/>
    <w:rsid w:val="57C95D3A"/>
    <w:rsid w:val="57D723DB"/>
    <w:rsid w:val="57E94F6E"/>
    <w:rsid w:val="57FC46CD"/>
    <w:rsid w:val="5813304C"/>
    <w:rsid w:val="582D643B"/>
    <w:rsid w:val="583E6517"/>
    <w:rsid w:val="58446B45"/>
    <w:rsid w:val="586F3F77"/>
    <w:rsid w:val="5878076F"/>
    <w:rsid w:val="587A11F9"/>
    <w:rsid w:val="587E2DFB"/>
    <w:rsid w:val="58921E9E"/>
    <w:rsid w:val="58AD3BAF"/>
    <w:rsid w:val="590F5642"/>
    <w:rsid w:val="59581D28"/>
    <w:rsid w:val="59B215D2"/>
    <w:rsid w:val="59BE7599"/>
    <w:rsid w:val="59C339BE"/>
    <w:rsid w:val="59DE3515"/>
    <w:rsid w:val="5A1B5D8A"/>
    <w:rsid w:val="5A3A1756"/>
    <w:rsid w:val="5A3E194F"/>
    <w:rsid w:val="5A476756"/>
    <w:rsid w:val="5A4C4885"/>
    <w:rsid w:val="5A5670CF"/>
    <w:rsid w:val="5A6E50C1"/>
    <w:rsid w:val="5A70706B"/>
    <w:rsid w:val="5A7F5481"/>
    <w:rsid w:val="5A832C28"/>
    <w:rsid w:val="5A8F0150"/>
    <w:rsid w:val="5AA15B68"/>
    <w:rsid w:val="5AB942CB"/>
    <w:rsid w:val="5AC0103D"/>
    <w:rsid w:val="5AD16314"/>
    <w:rsid w:val="5B151303"/>
    <w:rsid w:val="5B1D6F35"/>
    <w:rsid w:val="5B1E0A9B"/>
    <w:rsid w:val="5B1E5593"/>
    <w:rsid w:val="5B2D27F8"/>
    <w:rsid w:val="5B570C50"/>
    <w:rsid w:val="5B5F4E4E"/>
    <w:rsid w:val="5B794A2F"/>
    <w:rsid w:val="5BAC50FA"/>
    <w:rsid w:val="5BC113F5"/>
    <w:rsid w:val="5BF676A1"/>
    <w:rsid w:val="5C2D37DD"/>
    <w:rsid w:val="5C3016DE"/>
    <w:rsid w:val="5C553582"/>
    <w:rsid w:val="5C5B67EC"/>
    <w:rsid w:val="5C5E4258"/>
    <w:rsid w:val="5C78496E"/>
    <w:rsid w:val="5C933BBD"/>
    <w:rsid w:val="5CA87E9F"/>
    <w:rsid w:val="5CD040EF"/>
    <w:rsid w:val="5CF21581"/>
    <w:rsid w:val="5CF34A5E"/>
    <w:rsid w:val="5CF77B27"/>
    <w:rsid w:val="5D115965"/>
    <w:rsid w:val="5D1B1E2D"/>
    <w:rsid w:val="5D2A086E"/>
    <w:rsid w:val="5D523C77"/>
    <w:rsid w:val="5D5B3B25"/>
    <w:rsid w:val="5D6F5426"/>
    <w:rsid w:val="5D701996"/>
    <w:rsid w:val="5D796A1B"/>
    <w:rsid w:val="5D801162"/>
    <w:rsid w:val="5D86124C"/>
    <w:rsid w:val="5DAB756F"/>
    <w:rsid w:val="5E18792B"/>
    <w:rsid w:val="5E282B86"/>
    <w:rsid w:val="5E4608AC"/>
    <w:rsid w:val="5E4953C8"/>
    <w:rsid w:val="5E5B77AD"/>
    <w:rsid w:val="5E617488"/>
    <w:rsid w:val="5E683D24"/>
    <w:rsid w:val="5EAA3131"/>
    <w:rsid w:val="5EDB4241"/>
    <w:rsid w:val="5EE72803"/>
    <w:rsid w:val="5F1651A4"/>
    <w:rsid w:val="5F3A18A6"/>
    <w:rsid w:val="5F462ACE"/>
    <w:rsid w:val="5F5D700D"/>
    <w:rsid w:val="5F6E4F96"/>
    <w:rsid w:val="5F7340E1"/>
    <w:rsid w:val="5F9116FD"/>
    <w:rsid w:val="60031B04"/>
    <w:rsid w:val="60134305"/>
    <w:rsid w:val="603145C8"/>
    <w:rsid w:val="6033129A"/>
    <w:rsid w:val="60893E54"/>
    <w:rsid w:val="608A0EAD"/>
    <w:rsid w:val="60907CD0"/>
    <w:rsid w:val="609D657A"/>
    <w:rsid w:val="60BC50BC"/>
    <w:rsid w:val="60C94730"/>
    <w:rsid w:val="60F2286D"/>
    <w:rsid w:val="6104160A"/>
    <w:rsid w:val="612207D9"/>
    <w:rsid w:val="615B5F92"/>
    <w:rsid w:val="615D7910"/>
    <w:rsid w:val="61603ADF"/>
    <w:rsid w:val="617402CA"/>
    <w:rsid w:val="61784AB5"/>
    <w:rsid w:val="618816DB"/>
    <w:rsid w:val="61952BCF"/>
    <w:rsid w:val="619B4DF6"/>
    <w:rsid w:val="619F79C2"/>
    <w:rsid w:val="61C255C8"/>
    <w:rsid w:val="61C2656D"/>
    <w:rsid w:val="620A00FD"/>
    <w:rsid w:val="624F19EC"/>
    <w:rsid w:val="628D5364"/>
    <w:rsid w:val="629D6ABC"/>
    <w:rsid w:val="6306644E"/>
    <w:rsid w:val="63234ABD"/>
    <w:rsid w:val="633D0B98"/>
    <w:rsid w:val="636B3306"/>
    <w:rsid w:val="636B3AE2"/>
    <w:rsid w:val="636D51F8"/>
    <w:rsid w:val="636F4171"/>
    <w:rsid w:val="637D6F6F"/>
    <w:rsid w:val="63B57985"/>
    <w:rsid w:val="63C84F74"/>
    <w:rsid w:val="641150B2"/>
    <w:rsid w:val="64141E2A"/>
    <w:rsid w:val="64390DA2"/>
    <w:rsid w:val="64B846B0"/>
    <w:rsid w:val="64BE6EC6"/>
    <w:rsid w:val="64CA3C4C"/>
    <w:rsid w:val="64D025D1"/>
    <w:rsid w:val="64F11346"/>
    <w:rsid w:val="650039CD"/>
    <w:rsid w:val="65136487"/>
    <w:rsid w:val="65164631"/>
    <w:rsid w:val="6517797F"/>
    <w:rsid w:val="651D2E7D"/>
    <w:rsid w:val="65650F93"/>
    <w:rsid w:val="659208D6"/>
    <w:rsid w:val="65F2286E"/>
    <w:rsid w:val="65F6122A"/>
    <w:rsid w:val="6606753D"/>
    <w:rsid w:val="66486BB1"/>
    <w:rsid w:val="66545185"/>
    <w:rsid w:val="668F10C3"/>
    <w:rsid w:val="66A96454"/>
    <w:rsid w:val="66BF2C90"/>
    <w:rsid w:val="66C35973"/>
    <w:rsid w:val="66D56C9D"/>
    <w:rsid w:val="66D80014"/>
    <w:rsid w:val="66F678C7"/>
    <w:rsid w:val="674C1E8D"/>
    <w:rsid w:val="67A436B2"/>
    <w:rsid w:val="67CC273E"/>
    <w:rsid w:val="67F63D69"/>
    <w:rsid w:val="68057258"/>
    <w:rsid w:val="682C1D55"/>
    <w:rsid w:val="682E4FEE"/>
    <w:rsid w:val="68340654"/>
    <w:rsid w:val="683F008B"/>
    <w:rsid w:val="686D0563"/>
    <w:rsid w:val="68A11A57"/>
    <w:rsid w:val="68A67A2C"/>
    <w:rsid w:val="68AD6032"/>
    <w:rsid w:val="68E4554D"/>
    <w:rsid w:val="68E5608C"/>
    <w:rsid w:val="693D5502"/>
    <w:rsid w:val="693D6914"/>
    <w:rsid w:val="69632034"/>
    <w:rsid w:val="699D75BE"/>
    <w:rsid w:val="699E5765"/>
    <w:rsid w:val="69AA4E73"/>
    <w:rsid w:val="69C126F7"/>
    <w:rsid w:val="69E156FD"/>
    <w:rsid w:val="6A2008CE"/>
    <w:rsid w:val="6A313B79"/>
    <w:rsid w:val="6A4249CD"/>
    <w:rsid w:val="6A65500D"/>
    <w:rsid w:val="6A66710C"/>
    <w:rsid w:val="6A667ACB"/>
    <w:rsid w:val="6A925646"/>
    <w:rsid w:val="6AB02076"/>
    <w:rsid w:val="6AB204A2"/>
    <w:rsid w:val="6ADC6C40"/>
    <w:rsid w:val="6AF678F9"/>
    <w:rsid w:val="6AFC3B3E"/>
    <w:rsid w:val="6B04678C"/>
    <w:rsid w:val="6B092A04"/>
    <w:rsid w:val="6B2A2D03"/>
    <w:rsid w:val="6B454B70"/>
    <w:rsid w:val="6B4B5FC5"/>
    <w:rsid w:val="6B772CA9"/>
    <w:rsid w:val="6B77405F"/>
    <w:rsid w:val="6B844AB9"/>
    <w:rsid w:val="6B935A08"/>
    <w:rsid w:val="6BEC1D4A"/>
    <w:rsid w:val="6C0F174D"/>
    <w:rsid w:val="6C233FD2"/>
    <w:rsid w:val="6C52149E"/>
    <w:rsid w:val="6C713C0A"/>
    <w:rsid w:val="6CA35CCC"/>
    <w:rsid w:val="6CD019CC"/>
    <w:rsid w:val="6CD25F65"/>
    <w:rsid w:val="6CE07D15"/>
    <w:rsid w:val="6D412137"/>
    <w:rsid w:val="6D750A20"/>
    <w:rsid w:val="6DA76B24"/>
    <w:rsid w:val="6E05428C"/>
    <w:rsid w:val="6E124F66"/>
    <w:rsid w:val="6E147265"/>
    <w:rsid w:val="6E186465"/>
    <w:rsid w:val="6E1E16D8"/>
    <w:rsid w:val="6E5518BE"/>
    <w:rsid w:val="6E604C7B"/>
    <w:rsid w:val="6E84160B"/>
    <w:rsid w:val="6E8C1FBB"/>
    <w:rsid w:val="6E8C3B08"/>
    <w:rsid w:val="6E921B10"/>
    <w:rsid w:val="6EA87B2C"/>
    <w:rsid w:val="6EAB407B"/>
    <w:rsid w:val="6EEC0854"/>
    <w:rsid w:val="6EFB5E24"/>
    <w:rsid w:val="6F0A1644"/>
    <w:rsid w:val="6F2454B5"/>
    <w:rsid w:val="6F345896"/>
    <w:rsid w:val="6F422625"/>
    <w:rsid w:val="6F4B5861"/>
    <w:rsid w:val="6F6A0130"/>
    <w:rsid w:val="6F76515A"/>
    <w:rsid w:val="6F786F6E"/>
    <w:rsid w:val="6FB44C23"/>
    <w:rsid w:val="6FE2625F"/>
    <w:rsid w:val="6FFD1F4A"/>
    <w:rsid w:val="70026BDD"/>
    <w:rsid w:val="70167772"/>
    <w:rsid w:val="70182B13"/>
    <w:rsid w:val="701E19B5"/>
    <w:rsid w:val="70232CCB"/>
    <w:rsid w:val="704B1E9E"/>
    <w:rsid w:val="7050415D"/>
    <w:rsid w:val="705568B2"/>
    <w:rsid w:val="70563A91"/>
    <w:rsid w:val="70682E54"/>
    <w:rsid w:val="70770181"/>
    <w:rsid w:val="707D535D"/>
    <w:rsid w:val="70985EE9"/>
    <w:rsid w:val="709944CD"/>
    <w:rsid w:val="709D14B1"/>
    <w:rsid w:val="70AD7ECE"/>
    <w:rsid w:val="70D76D12"/>
    <w:rsid w:val="712A4AB8"/>
    <w:rsid w:val="7149021C"/>
    <w:rsid w:val="7155308E"/>
    <w:rsid w:val="715A0E60"/>
    <w:rsid w:val="718F6953"/>
    <w:rsid w:val="71C70540"/>
    <w:rsid w:val="72322C6A"/>
    <w:rsid w:val="72614689"/>
    <w:rsid w:val="72BB468F"/>
    <w:rsid w:val="72C300B4"/>
    <w:rsid w:val="72D46DEE"/>
    <w:rsid w:val="72F73BF6"/>
    <w:rsid w:val="732805E0"/>
    <w:rsid w:val="734B6FCE"/>
    <w:rsid w:val="7358525E"/>
    <w:rsid w:val="737C7F41"/>
    <w:rsid w:val="73FB4DE2"/>
    <w:rsid w:val="74023514"/>
    <w:rsid w:val="74192BD3"/>
    <w:rsid w:val="742B7D4C"/>
    <w:rsid w:val="742F2C33"/>
    <w:rsid w:val="744D64C1"/>
    <w:rsid w:val="744E5316"/>
    <w:rsid w:val="745375F9"/>
    <w:rsid w:val="7466373F"/>
    <w:rsid w:val="74880EFC"/>
    <w:rsid w:val="74AC54D7"/>
    <w:rsid w:val="74B56145"/>
    <w:rsid w:val="74D71FA0"/>
    <w:rsid w:val="74DF7DC5"/>
    <w:rsid w:val="750A7DD1"/>
    <w:rsid w:val="75197BE4"/>
    <w:rsid w:val="752D52A3"/>
    <w:rsid w:val="75500426"/>
    <w:rsid w:val="75545009"/>
    <w:rsid w:val="75836A13"/>
    <w:rsid w:val="75A34C03"/>
    <w:rsid w:val="75B27C43"/>
    <w:rsid w:val="75D110F5"/>
    <w:rsid w:val="75D52D38"/>
    <w:rsid w:val="75EB7318"/>
    <w:rsid w:val="760461FD"/>
    <w:rsid w:val="76822AFA"/>
    <w:rsid w:val="76950854"/>
    <w:rsid w:val="7705215C"/>
    <w:rsid w:val="771E7DF2"/>
    <w:rsid w:val="772576D7"/>
    <w:rsid w:val="773305D4"/>
    <w:rsid w:val="775160D0"/>
    <w:rsid w:val="77516751"/>
    <w:rsid w:val="775E3169"/>
    <w:rsid w:val="779A2751"/>
    <w:rsid w:val="77CF1A22"/>
    <w:rsid w:val="77D2056A"/>
    <w:rsid w:val="77E66A8D"/>
    <w:rsid w:val="77FD5688"/>
    <w:rsid w:val="78033790"/>
    <w:rsid w:val="780E1328"/>
    <w:rsid w:val="783C79B6"/>
    <w:rsid w:val="785A5A97"/>
    <w:rsid w:val="786761C8"/>
    <w:rsid w:val="78754F96"/>
    <w:rsid w:val="78A14B5D"/>
    <w:rsid w:val="78A26AFB"/>
    <w:rsid w:val="78BB0814"/>
    <w:rsid w:val="78D40B8F"/>
    <w:rsid w:val="78E91CEE"/>
    <w:rsid w:val="79054530"/>
    <w:rsid w:val="7910243B"/>
    <w:rsid w:val="791A363B"/>
    <w:rsid w:val="793A1CD3"/>
    <w:rsid w:val="797E19D4"/>
    <w:rsid w:val="7A0A3387"/>
    <w:rsid w:val="7A126C43"/>
    <w:rsid w:val="7A394B5B"/>
    <w:rsid w:val="7AA10345"/>
    <w:rsid w:val="7B3711C4"/>
    <w:rsid w:val="7B3A6F32"/>
    <w:rsid w:val="7B697B51"/>
    <w:rsid w:val="7B8C2492"/>
    <w:rsid w:val="7BC95E33"/>
    <w:rsid w:val="7C0B4193"/>
    <w:rsid w:val="7C391A25"/>
    <w:rsid w:val="7C4F4D3D"/>
    <w:rsid w:val="7C8534AF"/>
    <w:rsid w:val="7C8B4B38"/>
    <w:rsid w:val="7C9F40CC"/>
    <w:rsid w:val="7CA83666"/>
    <w:rsid w:val="7CB47041"/>
    <w:rsid w:val="7CB650DB"/>
    <w:rsid w:val="7CCD0F44"/>
    <w:rsid w:val="7CE34AFB"/>
    <w:rsid w:val="7D231CB7"/>
    <w:rsid w:val="7D7A5EBF"/>
    <w:rsid w:val="7D9D1DE6"/>
    <w:rsid w:val="7DAC3956"/>
    <w:rsid w:val="7DE23145"/>
    <w:rsid w:val="7E1F13A7"/>
    <w:rsid w:val="7E317A63"/>
    <w:rsid w:val="7E4B6ABD"/>
    <w:rsid w:val="7E777F0A"/>
    <w:rsid w:val="7E930E7B"/>
    <w:rsid w:val="7E966C74"/>
    <w:rsid w:val="7E997704"/>
    <w:rsid w:val="7EE1459D"/>
    <w:rsid w:val="7EF00580"/>
    <w:rsid w:val="7F055300"/>
    <w:rsid w:val="7F0F4117"/>
    <w:rsid w:val="7F0F418A"/>
    <w:rsid w:val="7F247316"/>
    <w:rsid w:val="7F2D2BD8"/>
    <w:rsid w:val="7F326C5F"/>
    <w:rsid w:val="7F62455B"/>
    <w:rsid w:val="7F647570"/>
    <w:rsid w:val="7F6B6E40"/>
    <w:rsid w:val="7F742EF8"/>
    <w:rsid w:val="7F856A08"/>
    <w:rsid w:val="7FB128C8"/>
    <w:rsid w:val="7FC5074F"/>
    <w:rsid w:val="7FD82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4"/>
    <w:next w:val="1"/>
    <w:qFormat/>
    <w:uiPriority w:val="0"/>
    <w:pPr>
      <w:keepNext/>
      <w:keepLines/>
      <w:spacing w:before="340" w:after="330" w:line="578" w:lineRule="auto"/>
    </w:pPr>
    <w:rPr>
      <w:kern w:val="44"/>
      <w:sz w:val="44"/>
      <w:szCs w:val="44"/>
    </w:rPr>
  </w:style>
  <w:style w:type="paragraph" w:styleId="5">
    <w:name w:val="heading 2"/>
    <w:basedOn w:val="1"/>
    <w:next w:val="1"/>
    <w:link w:val="28"/>
    <w:unhideWhenUsed/>
    <w:qFormat/>
    <w:uiPriority w:val="0"/>
    <w:pPr>
      <w:keepNext/>
      <w:keepLines/>
      <w:spacing w:line="360" w:lineRule="auto"/>
      <w:jc w:val="center"/>
      <w:outlineLvl w:val="1"/>
    </w:pPr>
    <w:rPr>
      <w:rFonts w:ascii="Arial" w:hAnsi="Arial" w:eastAsia="黑体"/>
      <w:b/>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sz w:val="24"/>
      <w:szCs w:val="24"/>
    </w:rPr>
  </w:style>
  <w:style w:type="paragraph" w:styleId="4">
    <w:name w:val="Title"/>
    <w:basedOn w:val="1"/>
    <w:next w:val="1"/>
    <w:qFormat/>
    <w:uiPriority w:val="0"/>
    <w:pPr>
      <w:pBdr>
        <w:top w:val="none" w:color="000000" w:sz="0" w:space="3"/>
        <w:left w:val="none" w:color="000000" w:sz="0" w:space="3"/>
        <w:bottom w:val="none" w:color="000000" w:sz="0" w:space="3"/>
        <w:right w:val="none" w:color="000000" w:sz="0" w:space="3"/>
        <w:between w:val="none" w:color="000000" w:sz="0" w:space="0"/>
      </w:pBdr>
      <w:spacing w:before="240" w:after="60"/>
      <w:jc w:val="center"/>
      <w:outlineLvl w:val="0"/>
    </w:pPr>
    <w:rPr>
      <w:rFonts w:ascii="Cambria" w:hAnsi="Cambria"/>
      <w:b/>
      <w:bCs/>
      <w:kern w:val="1"/>
      <w:sz w:val="32"/>
      <w:szCs w:val="32"/>
    </w:rPr>
  </w:style>
  <w:style w:type="paragraph" w:styleId="6">
    <w:name w:val="Normal Indent"/>
    <w:basedOn w:val="1"/>
    <w:qFormat/>
    <w:uiPriority w:val="99"/>
    <w:pPr>
      <w:ind w:firstLine="420"/>
    </w:pPr>
  </w:style>
  <w:style w:type="paragraph" w:styleId="7">
    <w:name w:val="annotation text"/>
    <w:basedOn w:val="1"/>
    <w:qFormat/>
    <w:uiPriority w:val="0"/>
    <w:pPr>
      <w:jc w:val="left"/>
    </w:pPr>
  </w:style>
  <w:style w:type="paragraph" w:styleId="8">
    <w:name w:val="Body Text"/>
    <w:basedOn w:val="1"/>
    <w:next w:val="1"/>
    <w:qFormat/>
    <w:uiPriority w:val="0"/>
    <w:rPr>
      <w:sz w:val="30"/>
    </w:rPr>
  </w:style>
  <w:style w:type="paragraph" w:styleId="9">
    <w:name w:val="Plain Text"/>
    <w:basedOn w:val="1"/>
    <w:qFormat/>
    <w:uiPriority w:val="0"/>
    <w:rPr>
      <w:rFonts w:ascii="宋体" w:hAnsi="Courier New" w:cs="Courier New"/>
    </w:rPr>
  </w:style>
  <w:style w:type="paragraph" w:styleId="10">
    <w:name w:val="Body Text Indent 2"/>
    <w:basedOn w:val="1"/>
    <w:qFormat/>
    <w:uiPriority w:val="99"/>
    <w:pPr>
      <w:autoSpaceDE w:val="0"/>
      <w:autoSpaceDN w:val="0"/>
      <w:adjustRightInd w:val="0"/>
      <w:spacing w:line="489" w:lineRule="atLeast"/>
      <w:ind w:firstLine="709"/>
      <w:jc w:val="left"/>
    </w:pPr>
    <w:rPr>
      <w:rFonts w:cs="Times New Roman"/>
      <w:kern w:val="0"/>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unhideWhenUsed/>
    <w:qFormat/>
    <w:uiPriority w:val="99"/>
    <w:pPr>
      <w:spacing w:before="100" w:beforeAutospacing="1" w:after="100" w:afterAutospacing="1"/>
      <w:jc w:val="left"/>
    </w:pPr>
    <w:rPr>
      <w:rFonts w:cs="Times New Roman"/>
      <w:kern w:val="0"/>
      <w:sz w:val="24"/>
    </w:rPr>
  </w:style>
  <w:style w:type="paragraph" w:styleId="17">
    <w:name w:val="Body Text First Indent"/>
    <w:basedOn w:val="8"/>
    <w:qFormat/>
    <w:uiPriority w:val="0"/>
    <w:pPr>
      <w:ind w:firstLine="420" w:firstLineChars="100"/>
    </w:pPr>
  </w:style>
  <w:style w:type="table" w:styleId="19">
    <w:name w:val="Table Grid"/>
    <w:basedOn w:val="1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rFonts w:hint="eastAsia" w:ascii="微软雅黑" w:hAnsi="微软雅黑" w:eastAsia="微软雅黑" w:cs="微软雅黑"/>
      <w:color w:val="02396F"/>
      <w:u w:val="single"/>
    </w:rPr>
  </w:style>
  <w:style w:type="character" w:styleId="23">
    <w:name w:val="Hyperlink"/>
    <w:basedOn w:val="20"/>
    <w:qFormat/>
    <w:uiPriority w:val="0"/>
    <w:rPr>
      <w:rFonts w:ascii="微软雅黑" w:hAnsi="微软雅黑" w:eastAsia="微软雅黑" w:cs="微软雅黑"/>
      <w:color w:val="02396F"/>
      <w:u w:val="single"/>
    </w:rPr>
  </w:style>
  <w:style w:type="paragraph" w:customStyle="1" w:styleId="24">
    <w:name w:val="Default"/>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paragraph" w:styleId="25">
    <w:name w:val="List Paragraph"/>
    <w:basedOn w:val="1"/>
    <w:qFormat/>
    <w:uiPriority w:val="34"/>
    <w:pPr>
      <w:ind w:firstLine="420" w:firstLineChars="200"/>
    </w:pPr>
  </w:style>
  <w:style w:type="paragraph" w:customStyle="1" w:styleId="26">
    <w:name w:val="WPSOffice手动目录 1"/>
    <w:qFormat/>
    <w:uiPriority w:val="99"/>
    <w:rPr>
      <w:rFonts w:ascii="Times New Roman" w:hAnsi="Times New Roman" w:eastAsia="宋体" w:cs="Times New Roman"/>
      <w:sz w:val="21"/>
      <w:szCs w:val="22"/>
      <w:lang w:val="en-US" w:eastAsia="zh-CN" w:bidi="ar-SA"/>
    </w:rPr>
  </w:style>
  <w:style w:type="paragraph" w:customStyle="1" w:styleId="27">
    <w:name w:val="Heading 21"/>
    <w:basedOn w:val="1"/>
    <w:next w:val="1"/>
    <w:qFormat/>
    <w:uiPriority w:val="99"/>
    <w:pPr>
      <w:keepNext/>
      <w:keepLines/>
      <w:spacing w:before="260" w:after="260" w:line="416" w:lineRule="auto"/>
      <w:outlineLvl w:val="1"/>
    </w:pPr>
    <w:rPr>
      <w:rFonts w:ascii="Cambria" w:hAnsi="Cambria" w:cs="Cambria"/>
      <w:b/>
      <w:bCs/>
      <w:kern w:val="0"/>
      <w:sz w:val="32"/>
      <w:szCs w:val="32"/>
    </w:rPr>
  </w:style>
  <w:style w:type="character" w:customStyle="1" w:styleId="28">
    <w:name w:val="标题 2 Char"/>
    <w:link w:val="5"/>
    <w:qFormat/>
    <w:uiPriority w:val="0"/>
    <w:rPr>
      <w:rFonts w:ascii="Arial" w:hAnsi="Arial" w:eastAsia="黑体"/>
      <w:b/>
      <w:sz w:val="44"/>
    </w:rPr>
  </w:style>
  <w:style w:type="paragraph" w:customStyle="1" w:styleId="29">
    <w:name w:val="列出段落1"/>
    <w:basedOn w:val="1"/>
    <w:qFormat/>
    <w:uiPriority w:val="0"/>
    <w:pPr>
      <w:ind w:firstLine="420" w:firstLineChars="200"/>
    </w:pPr>
  </w:style>
  <w:style w:type="character" w:customStyle="1" w:styleId="30">
    <w:name w:val="批注框文本 Char"/>
    <w:basedOn w:val="20"/>
    <w:link w:val="11"/>
    <w:qFormat/>
    <w:uiPriority w:val="0"/>
    <w:rPr>
      <w:rFonts w:ascii="Calibri" w:hAnsi="Calibri" w:cs="Calibri"/>
      <w:kern w:val="2"/>
      <w:sz w:val="18"/>
      <w:szCs w:val="18"/>
    </w:rPr>
  </w:style>
  <w:style w:type="paragraph" w:customStyle="1" w:styleId="31">
    <w:name w:val="章标题"/>
    <w:next w:val="3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一级条标题"/>
    <w:next w:val="3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34">
    <w:name w:val="redfilenumber"/>
    <w:basedOn w:val="20"/>
    <w:qFormat/>
    <w:uiPriority w:val="0"/>
    <w:rPr>
      <w:color w:val="BA2636"/>
      <w:sz w:val="18"/>
      <w:szCs w:val="18"/>
    </w:rPr>
  </w:style>
  <w:style w:type="character" w:customStyle="1" w:styleId="35">
    <w:name w:val="gjfg"/>
    <w:basedOn w:val="20"/>
    <w:qFormat/>
    <w:uiPriority w:val="0"/>
  </w:style>
  <w:style w:type="character" w:customStyle="1" w:styleId="36">
    <w:name w:val="redfilefwwh"/>
    <w:basedOn w:val="20"/>
    <w:qFormat/>
    <w:uiPriority w:val="0"/>
    <w:rPr>
      <w:color w:val="BA2636"/>
      <w:sz w:val="18"/>
      <w:szCs w:val="18"/>
    </w:rPr>
  </w:style>
  <w:style w:type="character" w:customStyle="1" w:styleId="37">
    <w:name w:val="cfdate"/>
    <w:basedOn w:val="20"/>
    <w:qFormat/>
    <w:uiPriority w:val="0"/>
    <w:rPr>
      <w:color w:val="333333"/>
      <w:sz w:val="18"/>
      <w:szCs w:val="18"/>
    </w:rPr>
  </w:style>
  <w:style w:type="character" w:customStyle="1" w:styleId="38">
    <w:name w:val="displayarti"/>
    <w:basedOn w:val="20"/>
    <w:qFormat/>
    <w:uiPriority w:val="0"/>
    <w:rPr>
      <w:color w:val="FFFFFF"/>
      <w:shd w:val="clear" w:fill="A00000"/>
    </w:rPr>
  </w:style>
  <w:style w:type="character" w:customStyle="1" w:styleId="39">
    <w:name w:val="qxdate"/>
    <w:basedOn w:val="20"/>
    <w:qFormat/>
    <w:uiPriority w:val="0"/>
    <w:rPr>
      <w:color w:val="333333"/>
      <w:sz w:val="18"/>
      <w:szCs w:val="18"/>
    </w:rPr>
  </w:style>
  <w:style w:type="paragraph" w:customStyle="1" w:styleId="40">
    <w:name w:val="6'"/>
    <w:basedOn w:val="1"/>
    <w:qFormat/>
    <w:uiPriority w:val="99"/>
    <w:pPr>
      <w:autoSpaceDE w:val="0"/>
      <w:autoSpaceDN w:val="0"/>
      <w:adjustRightInd w:val="0"/>
      <w:snapToGrid w:val="0"/>
      <w:spacing w:line="320" w:lineRule="exact"/>
      <w:jc w:val="center"/>
      <w:textAlignment w:val="baseline"/>
    </w:pPr>
    <w:rPr>
      <w:rFonts w:ascii="Times New Roman" w:hAnsi="Times New Roman" w:cs="Times New Roman"/>
      <w:spacing w:val="20"/>
      <w:kern w:val="28"/>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20859</Words>
  <Characters>21705</Characters>
  <Lines>38</Lines>
  <Paragraphs>42</Paragraphs>
  <TotalTime>343</TotalTime>
  <ScaleCrop>false</ScaleCrop>
  <LinksUpToDate>false</LinksUpToDate>
  <CharactersWithSpaces>23707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2018-03-22T02:20:00Z</dcterms:created>
  <dc:creator>Administrator</dc:creator>
  <cp:lastModifiedBy>幻唐</cp:lastModifiedBy>
  <cp:lastPrinted>2023-02-09T01:08:52Z</cp:lastPrinted>
  <dcterms:modified xsi:type="dcterms:W3CDTF">2023-02-09T07:22:21Z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8CC26707374843A7AE1AA61E793517A2</vt:lpwstr>
  </property>
</Properties>
</file>